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2ACCA" w14:textId="77777777" w:rsidR="00DC38D5" w:rsidRDefault="00B61D74">
      <w:pPr>
        <w:jc w:val="center"/>
        <w:rPr>
          <w:rFonts w:ascii="Roboto" w:eastAsia="Roboto" w:hAnsi="Roboto" w:cs="Roboto"/>
          <w:b/>
          <w:bCs/>
          <w:sz w:val="28"/>
          <w:szCs w:val="28"/>
        </w:rPr>
      </w:pPr>
      <w:r>
        <w:rPr>
          <w:rFonts w:ascii="Roboto" w:eastAsia="Roboto" w:hAnsi="Roboto" w:cs="Roboto"/>
          <w:b/>
          <w:bCs/>
          <w:sz w:val="28"/>
          <w:szCs w:val="28"/>
        </w:rPr>
        <w:t xml:space="preserve">EL MUN INVITA A EXPERIMENTAR EL COLOR Y </w:t>
      </w:r>
      <w:r>
        <w:rPr>
          <w:rFonts w:ascii="Roboto" w:eastAsia="Roboto" w:hAnsi="Roboto" w:cs="Roboto"/>
          <w:b/>
          <w:bCs/>
          <w:sz w:val="28"/>
          <w:szCs w:val="28"/>
        </w:rPr>
        <w:br/>
        <w:t>PRESTAR ATENCIÓN A LAS DIFERENCIAS</w:t>
      </w:r>
    </w:p>
    <w:p w14:paraId="719BA03D" w14:textId="77777777" w:rsidR="00DC38D5" w:rsidRDefault="00B61D74">
      <w:pPr>
        <w:ind w:firstLine="720"/>
        <w:jc w:val="center"/>
        <w:rPr>
          <w:rFonts w:ascii="Roboto" w:eastAsia="Roboto" w:hAnsi="Roboto" w:cs="Roboto"/>
          <w:b/>
          <w:bCs/>
          <w:sz w:val="20"/>
          <w:szCs w:val="20"/>
        </w:rPr>
      </w:pPr>
      <w:bookmarkStart w:id="0" w:name="_heading=h.9sh6z9xp6djs" w:colFirst="0" w:colLast="0"/>
      <w:bookmarkEnd w:id="0"/>
      <w:r>
        <w:rPr>
          <w:rFonts w:ascii="Roboto" w:eastAsia="Roboto" w:hAnsi="Roboto" w:cs="Roboto"/>
          <w:b/>
          <w:bCs/>
          <w:sz w:val="20"/>
          <w:szCs w:val="20"/>
        </w:rPr>
        <w:t>‘En vivo y en directo: color, percepción y experiencia’, la exposición que inaugura la nueva etapa artística del MUN de la mano de Gabriel Pérez-Barreiro, director artístico del MUN, y Nathaniel Barrett, filósofo e investigador del Instituto Cultura y Soci</w:t>
      </w:r>
      <w:r>
        <w:rPr>
          <w:rFonts w:ascii="Roboto" w:eastAsia="Roboto" w:hAnsi="Roboto" w:cs="Roboto"/>
          <w:b/>
          <w:bCs/>
          <w:sz w:val="20"/>
          <w:szCs w:val="20"/>
        </w:rPr>
        <w:t>edad de la Universidad de Navarra</w:t>
      </w:r>
    </w:p>
    <w:p w14:paraId="7A5F42B6" w14:textId="77777777" w:rsidR="00DC38D5" w:rsidRDefault="00B61D74">
      <w:pPr>
        <w:ind w:firstLine="720"/>
        <w:jc w:val="center"/>
        <w:rPr>
          <w:rFonts w:ascii="Roboto" w:eastAsia="Roboto" w:hAnsi="Roboto" w:cs="Roboto"/>
          <w:b/>
          <w:bCs/>
          <w:sz w:val="20"/>
          <w:szCs w:val="20"/>
        </w:rPr>
      </w:pPr>
      <w:r>
        <w:rPr>
          <w:rFonts w:ascii="Roboto" w:eastAsia="Roboto" w:hAnsi="Roboto" w:cs="Roboto"/>
          <w:b/>
          <w:bCs/>
          <w:sz w:val="20"/>
          <w:szCs w:val="20"/>
        </w:rPr>
        <w:t xml:space="preserve">La muestra, que reúne obras de Josef Albers, Carlos Cruz-Diez, Karina </w:t>
      </w:r>
      <w:proofErr w:type="spellStart"/>
      <w:r>
        <w:rPr>
          <w:rFonts w:ascii="Roboto" w:eastAsia="Roboto" w:hAnsi="Roboto" w:cs="Roboto"/>
          <w:b/>
          <w:bCs/>
          <w:sz w:val="20"/>
          <w:szCs w:val="20"/>
        </w:rPr>
        <w:t>Peisajovich</w:t>
      </w:r>
      <w:proofErr w:type="spellEnd"/>
      <w:r>
        <w:rPr>
          <w:rFonts w:ascii="Roboto" w:eastAsia="Roboto" w:hAnsi="Roboto" w:cs="Roboto"/>
          <w:b/>
          <w:bCs/>
          <w:sz w:val="20"/>
          <w:szCs w:val="20"/>
        </w:rPr>
        <w:t xml:space="preserve">, Anoka </w:t>
      </w:r>
      <w:proofErr w:type="spellStart"/>
      <w:r>
        <w:rPr>
          <w:rFonts w:ascii="Roboto" w:eastAsia="Roboto" w:hAnsi="Roboto" w:cs="Roboto"/>
          <w:b/>
          <w:bCs/>
          <w:sz w:val="20"/>
          <w:szCs w:val="20"/>
        </w:rPr>
        <w:t>Faruqee</w:t>
      </w:r>
      <w:proofErr w:type="spellEnd"/>
      <w:r>
        <w:rPr>
          <w:rFonts w:ascii="Roboto" w:eastAsia="Roboto" w:hAnsi="Roboto" w:cs="Roboto"/>
          <w:b/>
          <w:bCs/>
          <w:sz w:val="20"/>
          <w:szCs w:val="20"/>
        </w:rPr>
        <w:t xml:space="preserve"> &amp; David </w:t>
      </w:r>
      <w:proofErr w:type="spellStart"/>
      <w:r>
        <w:rPr>
          <w:rFonts w:ascii="Roboto" w:eastAsia="Roboto" w:hAnsi="Roboto" w:cs="Roboto"/>
          <w:b/>
          <w:bCs/>
          <w:sz w:val="20"/>
          <w:szCs w:val="20"/>
        </w:rPr>
        <w:t>Driscoll</w:t>
      </w:r>
      <w:proofErr w:type="spellEnd"/>
      <w:r>
        <w:rPr>
          <w:rFonts w:ascii="Roboto" w:eastAsia="Roboto" w:hAnsi="Roboto" w:cs="Roboto"/>
          <w:b/>
          <w:bCs/>
          <w:sz w:val="20"/>
          <w:szCs w:val="20"/>
        </w:rPr>
        <w:t xml:space="preserve"> y Los Dalton, explora el comportamiento del color y su relación con la percepción  </w:t>
      </w:r>
    </w:p>
    <w:p w14:paraId="338F3861" w14:textId="77777777" w:rsidR="00DC38D5" w:rsidRDefault="00B61D74">
      <w:pPr>
        <w:jc w:val="both"/>
        <w:rPr>
          <w:rFonts w:ascii="Roboto" w:eastAsia="Roboto" w:hAnsi="Roboto" w:cs="Roboto"/>
        </w:rPr>
      </w:pPr>
      <w:r>
        <w:rPr>
          <w:rFonts w:ascii="Roboto" w:eastAsia="Roboto" w:hAnsi="Roboto" w:cs="Roboto"/>
        </w:rPr>
        <w:br/>
      </w:r>
      <w:r>
        <w:rPr>
          <w:rFonts w:ascii="Roboto" w:eastAsia="Roboto" w:hAnsi="Roboto" w:cs="Roboto"/>
          <w:i/>
          <w:iCs/>
        </w:rPr>
        <w:tab/>
        <w:t>En Pamplona, 16 de sep</w:t>
      </w:r>
      <w:r>
        <w:rPr>
          <w:rFonts w:ascii="Roboto" w:eastAsia="Roboto" w:hAnsi="Roboto" w:cs="Roboto"/>
          <w:i/>
          <w:iCs/>
        </w:rPr>
        <w:t>tiembre de 2026</w:t>
      </w:r>
      <w:r>
        <w:rPr>
          <w:rFonts w:ascii="Roboto" w:eastAsia="Roboto" w:hAnsi="Roboto" w:cs="Roboto"/>
        </w:rPr>
        <w:t xml:space="preserve">- El Museo Universidad de Navarra inicia una nueva etapa de su proyecto, bajo la dirección artística de </w:t>
      </w:r>
      <w:r>
        <w:rPr>
          <w:rFonts w:ascii="Roboto" w:eastAsia="Roboto" w:hAnsi="Roboto" w:cs="Roboto"/>
          <w:b/>
          <w:bCs/>
        </w:rPr>
        <w:t>Gabriel Pérez-Barreiro,</w:t>
      </w:r>
      <w:r>
        <w:rPr>
          <w:rFonts w:ascii="Roboto" w:eastAsia="Roboto" w:hAnsi="Roboto" w:cs="Roboto"/>
        </w:rPr>
        <w:t xml:space="preserve"> con </w:t>
      </w:r>
      <w:r>
        <w:rPr>
          <w:rFonts w:ascii="Roboto" w:eastAsia="Roboto" w:hAnsi="Roboto" w:cs="Roboto"/>
          <w:b/>
          <w:bCs/>
          <w:i/>
          <w:iCs/>
        </w:rPr>
        <w:t>En vivo y en directo: color, percepción y experiencia</w:t>
      </w:r>
      <w:r>
        <w:rPr>
          <w:rFonts w:ascii="Roboto" w:eastAsia="Roboto" w:hAnsi="Roboto" w:cs="Roboto"/>
        </w:rPr>
        <w:t>, la exposición que se inaugura este miércoles y que est</w:t>
      </w:r>
      <w:r>
        <w:rPr>
          <w:rFonts w:ascii="Roboto" w:eastAsia="Roboto" w:hAnsi="Roboto" w:cs="Roboto"/>
        </w:rPr>
        <w:t xml:space="preserve">ará abierta al público hasta el 7 de febrero. La muestra propone un recorrido por las distintas formas en las que el color se comporta, se transforma y condiciona nuestra percepción, a través de obras de Josef Albers, Carlos Cruz-Diez, Karina </w:t>
      </w:r>
      <w:proofErr w:type="spellStart"/>
      <w:r>
        <w:rPr>
          <w:rFonts w:ascii="Roboto" w:eastAsia="Roboto" w:hAnsi="Roboto" w:cs="Roboto"/>
        </w:rPr>
        <w:t>Peisajovich</w:t>
      </w:r>
      <w:proofErr w:type="spellEnd"/>
      <w:r>
        <w:rPr>
          <w:rFonts w:ascii="Roboto" w:eastAsia="Roboto" w:hAnsi="Roboto" w:cs="Roboto"/>
        </w:rPr>
        <w:t xml:space="preserve">, </w:t>
      </w:r>
      <w:r>
        <w:rPr>
          <w:rFonts w:ascii="Roboto" w:eastAsia="Roboto" w:hAnsi="Roboto" w:cs="Roboto"/>
        </w:rPr>
        <w:t xml:space="preserve">Anoka </w:t>
      </w:r>
      <w:proofErr w:type="spellStart"/>
      <w:r>
        <w:rPr>
          <w:rFonts w:ascii="Roboto" w:eastAsia="Roboto" w:hAnsi="Roboto" w:cs="Roboto"/>
        </w:rPr>
        <w:t>Faruqee</w:t>
      </w:r>
      <w:proofErr w:type="spellEnd"/>
      <w:r>
        <w:rPr>
          <w:rFonts w:ascii="Roboto" w:eastAsia="Roboto" w:hAnsi="Roboto" w:cs="Roboto"/>
        </w:rPr>
        <w:t xml:space="preserve"> &amp; David </w:t>
      </w:r>
      <w:proofErr w:type="spellStart"/>
      <w:r>
        <w:rPr>
          <w:rFonts w:ascii="Roboto" w:eastAsia="Roboto" w:hAnsi="Roboto" w:cs="Roboto"/>
        </w:rPr>
        <w:t>Driscoll</w:t>
      </w:r>
      <w:proofErr w:type="spellEnd"/>
      <w:r>
        <w:rPr>
          <w:rFonts w:ascii="Roboto" w:eastAsia="Roboto" w:hAnsi="Roboto" w:cs="Roboto"/>
        </w:rPr>
        <w:t xml:space="preserve"> y Los Dalton. </w:t>
      </w:r>
    </w:p>
    <w:p w14:paraId="1872A93F" w14:textId="04FC1D3A" w:rsidR="00DC38D5" w:rsidRDefault="00B61D74">
      <w:pPr>
        <w:ind w:firstLine="720"/>
        <w:jc w:val="both"/>
        <w:rPr>
          <w:rFonts w:ascii="Roboto" w:eastAsia="Roboto" w:hAnsi="Roboto" w:cs="Roboto"/>
        </w:rPr>
      </w:pPr>
      <w:r>
        <w:rPr>
          <w:rFonts w:ascii="Roboto" w:eastAsia="Roboto" w:hAnsi="Roboto" w:cs="Roboto"/>
        </w:rPr>
        <w:t xml:space="preserve">Comisariada por </w:t>
      </w:r>
      <w:r>
        <w:rPr>
          <w:rFonts w:ascii="Roboto" w:eastAsia="Roboto" w:hAnsi="Roboto" w:cs="Roboto"/>
          <w:b/>
          <w:bCs/>
        </w:rPr>
        <w:t>Gabriel Pérez-Barreiro</w:t>
      </w:r>
      <w:r>
        <w:rPr>
          <w:rFonts w:ascii="Roboto" w:eastAsia="Roboto" w:hAnsi="Roboto" w:cs="Roboto"/>
        </w:rPr>
        <w:t xml:space="preserve">, director artístico del MUN, y </w:t>
      </w:r>
      <w:r>
        <w:rPr>
          <w:rFonts w:ascii="Roboto" w:eastAsia="Roboto" w:hAnsi="Roboto" w:cs="Roboto"/>
          <w:b/>
          <w:bCs/>
        </w:rPr>
        <w:t>Nathaniel Barrett</w:t>
      </w:r>
      <w:r>
        <w:rPr>
          <w:rFonts w:ascii="Roboto" w:eastAsia="Roboto" w:hAnsi="Roboto" w:cs="Roboto"/>
        </w:rPr>
        <w:t>, filósofo e investigador del Instituto Cultura y Sociedad (ICS) de la Universidad de Navarra, la exposición plantea una ap</w:t>
      </w:r>
      <w:r>
        <w:rPr>
          <w:rFonts w:ascii="Roboto" w:eastAsia="Roboto" w:hAnsi="Roboto" w:cs="Roboto"/>
        </w:rPr>
        <w:t>roximación al color como una experiencia activa. Gabriel Pérez-Barreiro, comisario artístico de la exposición, propone observar el color como un fenómeno que cambia y se transforma en función de la luz, el espacio y el movimiento. Y Nathaniel Barrett, comi</w:t>
      </w:r>
      <w:r>
        <w:rPr>
          <w:rFonts w:ascii="Roboto" w:eastAsia="Roboto" w:hAnsi="Roboto" w:cs="Roboto"/>
        </w:rPr>
        <w:t>sario académico, añade que “el núcleo de la exposición es la experiencia del comportamiento de los colores”. Desde esta perspectiva, la muestra plantea el color como un acontecimiento que evoluciona en el tiempo y en el espacio,</w:t>
      </w:r>
      <w:r w:rsidR="00CD7CB2">
        <w:rPr>
          <w:rFonts w:ascii="Roboto" w:eastAsia="Roboto" w:hAnsi="Roboto" w:cs="Roboto"/>
        </w:rPr>
        <w:t xml:space="preserve"> </w:t>
      </w:r>
      <w:r>
        <w:rPr>
          <w:rFonts w:ascii="Roboto" w:eastAsia="Roboto" w:hAnsi="Roboto" w:cs="Roboto"/>
        </w:rPr>
        <w:t xml:space="preserve">y que se relaciona con el </w:t>
      </w:r>
      <w:r>
        <w:rPr>
          <w:rFonts w:ascii="Roboto" w:eastAsia="Roboto" w:hAnsi="Roboto" w:cs="Roboto"/>
        </w:rPr>
        <w:t>contexto y con los visitantes.</w:t>
      </w:r>
    </w:p>
    <w:p w14:paraId="01D39EB9" w14:textId="77777777" w:rsidR="00DC38D5" w:rsidRDefault="00B61D74">
      <w:pPr>
        <w:ind w:firstLine="720"/>
        <w:jc w:val="both"/>
        <w:rPr>
          <w:rFonts w:ascii="Roboto" w:eastAsia="Roboto" w:hAnsi="Roboto" w:cs="Roboto"/>
        </w:rPr>
      </w:pPr>
      <w:r>
        <w:rPr>
          <w:rFonts w:ascii="Roboto" w:eastAsia="Roboto" w:hAnsi="Roboto" w:cs="Roboto"/>
        </w:rPr>
        <w:t>La exposición, que ocupa toda la planta -1 del edificio que diseñó Rafael Moneo, propone un recorrido que parte de las investigaciones del arte moderno sobre el color hasta las aproximaciones contemporáneas, que continúan exp</w:t>
      </w:r>
      <w:r>
        <w:rPr>
          <w:rFonts w:ascii="Roboto" w:eastAsia="Roboto" w:hAnsi="Roboto" w:cs="Roboto"/>
        </w:rPr>
        <w:t xml:space="preserve">lorando su naturaleza cambiante. El recorrido comienza con una obra fundamental del siglo XX, </w:t>
      </w:r>
      <w:proofErr w:type="spellStart"/>
      <w:r>
        <w:rPr>
          <w:rFonts w:ascii="Roboto" w:eastAsia="Roboto" w:hAnsi="Roboto" w:cs="Roboto"/>
          <w:b/>
          <w:bCs/>
          <w:i/>
          <w:iCs/>
        </w:rPr>
        <w:t>Interaction</w:t>
      </w:r>
      <w:proofErr w:type="spellEnd"/>
      <w:r>
        <w:rPr>
          <w:rFonts w:ascii="Roboto" w:eastAsia="Roboto" w:hAnsi="Roboto" w:cs="Roboto"/>
          <w:b/>
          <w:bCs/>
          <w:i/>
          <w:iCs/>
        </w:rPr>
        <w:t xml:space="preserve"> </w:t>
      </w:r>
      <w:proofErr w:type="spellStart"/>
      <w:r>
        <w:rPr>
          <w:rFonts w:ascii="Roboto" w:eastAsia="Roboto" w:hAnsi="Roboto" w:cs="Roboto"/>
          <w:b/>
          <w:bCs/>
          <w:i/>
          <w:iCs/>
        </w:rPr>
        <w:t>of</w:t>
      </w:r>
      <w:proofErr w:type="spellEnd"/>
      <w:r>
        <w:rPr>
          <w:rFonts w:ascii="Roboto" w:eastAsia="Roboto" w:hAnsi="Roboto" w:cs="Roboto"/>
          <w:b/>
          <w:bCs/>
          <w:i/>
          <w:iCs/>
        </w:rPr>
        <w:t xml:space="preserve"> Color,</w:t>
      </w:r>
      <w:r>
        <w:rPr>
          <w:rFonts w:ascii="Roboto" w:eastAsia="Roboto" w:hAnsi="Roboto" w:cs="Roboto"/>
        </w:rPr>
        <w:t xml:space="preserve"> de Josef Albers, figura esencial de la pedagogía del color, y con </w:t>
      </w:r>
      <w:r>
        <w:rPr>
          <w:rFonts w:ascii="Roboto" w:eastAsia="Roboto" w:hAnsi="Roboto" w:cs="Roboto"/>
          <w:b/>
          <w:bCs/>
        </w:rPr>
        <w:t>Carlos Cruz-Diez</w:t>
      </w:r>
      <w:r>
        <w:rPr>
          <w:rFonts w:ascii="Roboto" w:eastAsia="Roboto" w:hAnsi="Roboto" w:cs="Roboto"/>
        </w:rPr>
        <w:t xml:space="preserve">, cuya obra investiga el color en la luz. En su obra </w:t>
      </w:r>
      <w:proofErr w:type="spellStart"/>
      <w:r>
        <w:rPr>
          <w:rFonts w:ascii="Roboto" w:eastAsia="Roboto" w:hAnsi="Roboto" w:cs="Roboto"/>
          <w:i/>
          <w:iCs/>
        </w:rPr>
        <w:t>Chrom</w:t>
      </w:r>
      <w:r>
        <w:rPr>
          <w:rFonts w:ascii="Roboto" w:eastAsia="Roboto" w:hAnsi="Roboto" w:cs="Roboto"/>
          <w:i/>
          <w:iCs/>
        </w:rPr>
        <w:t>osaturation</w:t>
      </w:r>
      <w:proofErr w:type="spellEnd"/>
      <w:r>
        <w:rPr>
          <w:rFonts w:ascii="Roboto" w:eastAsia="Roboto" w:hAnsi="Roboto" w:cs="Roboto"/>
        </w:rPr>
        <w:t xml:space="preserve"> lleva esta investigación a un entorno que consiste en tres espacios iluminados en rojo, verde y azul, que modifican la experiencia cromática a medida que el visitante se desplaza por ellos. Estas primeras obras demuestran cómo el arte moderno d</w:t>
      </w:r>
      <w:r>
        <w:rPr>
          <w:rFonts w:ascii="Roboto" w:eastAsia="Roboto" w:hAnsi="Roboto" w:cs="Roboto"/>
        </w:rPr>
        <w:t>ejó de entender el color como una cualidad subordinada a la forma y comenzó a considerarlo como una experiencia capaz de transformarse.</w:t>
      </w:r>
    </w:p>
    <w:p w14:paraId="2E7CC19A" w14:textId="77777777" w:rsidR="00DC38D5" w:rsidRDefault="00B61D74">
      <w:pPr>
        <w:ind w:firstLine="720"/>
        <w:jc w:val="both"/>
        <w:rPr>
          <w:rFonts w:ascii="Roboto" w:eastAsia="Roboto" w:hAnsi="Roboto" w:cs="Roboto"/>
        </w:rPr>
      </w:pPr>
      <w:r>
        <w:rPr>
          <w:rFonts w:ascii="Roboto" w:eastAsia="Roboto" w:hAnsi="Roboto" w:cs="Roboto"/>
        </w:rPr>
        <w:t xml:space="preserve">El recorrido continúa con la creación contemporánea de </w:t>
      </w:r>
      <w:r>
        <w:rPr>
          <w:rFonts w:ascii="Roboto" w:eastAsia="Roboto" w:hAnsi="Roboto" w:cs="Roboto"/>
          <w:b/>
          <w:bCs/>
        </w:rPr>
        <w:t xml:space="preserve">Karina </w:t>
      </w:r>
      <w:proofErr w:type="spellStart"/>
      <w:r>
        <w:rPr>
          <w:rFonts w:ascii="Roboto" w:eastAsia="Roboto" w:hAnsi="Roboto" w:cs="Roboto"/>
          <w:b/>
          <w:bCs/>
        </w:rPr>
        <w:t>Peisajovich</w:t>
      </w:r>
      <w:proofErr w:type="spellEnd"/>
      <w:r>
        <w:rPr>
          <w:rFonts w:ascii="Roboto" w:eastAsia="Roboto" w:hAnsi="Roboto" w:cs="Roboto"/>
        </w:rPr>
        <w:t xml:space="preserve">, </w:t>
      </w:r>
      <w:r>
        <w:rPr>
          <w:rFonts w:ascii="Roboto" w:eastAsia="Roboto" w:hAnsi="Roboto" w:cs="Roboto"/>
          <w:b/>
          <w:bCs/>
        </w:rPr>
        <w:t xml:space="preserve">Anoka </w:t>
      </w:r>
      <w:proofErr w:type="spellStart"/>
      <w:r>
        <w:rPr>
          <w:rFonts w:ascii="Roboto" w:eastAsia="Roboto" w:hAnsi="Roboto" w:cs="Roboto"/>
          <w:b/>
          <w:bCs/>
        </w:rPr>
        <w:t>Faruqee</w:t>
      </w:r>
      <w:proofErr w:type="spellEnd"/>
      <w:r>
        <w:rPr>
          <w:rFonts w:ascii="Roboto" w:eastAsia="Roboto" w:hAnsi="Roboto" w:cs="Roboto"/>
          <w:b/>
          <w:bCs/>
        </w:rPr>
        <w:t xml:space="preserve"> &amp; David </w:t>
      </w:r>
      <w:proofErr w:type="spellStart"/>
      <w:r>
        <w:rPr>
          <w:rFonts w:ascii="Roboto" w:eastAsia="Roboto" w:hAnsi="Roboto" w:cs="Roboto"/>
          <w:b/>
          <w:bCs/>
        </w:rPr>
        <w:t>Driscoll</w:t>
      </w:r>
      <w:proofErr w:type="spellEnd"/>
      <w:r>
        <w:rPr>
          <w:rFonts w:ascii="Roboto" w:eastAsia="Roboto" w:hAnsi="Roboto" w:cs="Roboto"/>
        </w:rPr>
        <w:t xml:space="preserve"> y el colectivo</w:t>
      </w:r>
      <w:r>
        <w:rPr>
          <w:rFonts w:ascii="Roboto" w:eastAsia="Roboto" w:hAnsi="Roboto" w:cs="Roboto"/>
        </w:rPr>
        <w:t xml:space="preserve"> </w:t>
      </w:r>
      <w:r>
        <w:rPr>
          <w:rFonts w:ascii="Roboto" w:eastAsia="Roboto" w:hAnsi="Roboto" w:cs="Roboto"/>
          <w:b/>
          <w:bCs/>
        </w:rPr>
        <w:t>Los Dalton</w:t>
      </w:r>
      <w:r>
        <w:rPr>
          <w:rFonts w:ascii="Roboto" w:eastAsia="Roboto" w:hAnsi="Roboto" w:cs="Roboto"/>
        </w:rPr>
        <w:t xml:space="preserve">, que traen esta investigación a nuestros días con creaciones vinculadas a la luz, la estructura y la experiencia individual. </w:t>
      </w:r>
      <w:proofErr w:type="spellStart"/>
      <w:r>
        <w:rPr>
          <w:rFonts w:ascii="Roboto" w:eastAsia="Roboto" w:hAnsi="Roboto" w:cs="Roboto"/>
        </w:rPr>
        <w:t>Peisajovich</w:t>
      </w:r>
      <w:proofErr w:type="spellEnd"/>
      <w:r>
        <w:rPr>
          <w:rFonts w:ascii="Roboto" w:eastAsia="Roboto" w:hAnsi="Roboto" w:cs="Roboto"/>
        </w:rPr>
        <w:t xml:space="preserve"> explora la interacción entre los sistemas de color basado en la luz y en los pigmentos; </w:t>
      </w:r>
      <w:proofErr w:type="spellStart"/>
      <w:r>
        <w:rPr>
          <w:rFonts w:ascii="Roboto" w:eastAsia="Roboto" w:hAnsi="Roboto" w:cs="Roboto"/>
        </w:rPr>
        <w:t>Faruqee</w:t>
      </w:r>
      <w:proofErr w:type="spellEnd"/>
      <w:r>
        <w:rPr>
          <w:rFonts w:ascii="Roboto" w:eastAsia="Roboto" w:hAnsi="Roboto" w:cs="Roboto"/>
        </w:rPr>
        <w:t xml:space="preserve"> &amp; </w:t>
      </w:r>
      <w:proofErr w:type="spellStart"/>
      <w:r>
        <w:rPr>
          <w:rFonts w:ascii="Roboto" w:eastAsia="Roboto" w:hAnsi="Roboto" w:cs="Roboto"/>
        </w:rPr>
        <w:t>Driscoll</w:t>
      </w:r>
      <w:proofErr w:type="spellEnd"/>
      <w:r>
        <w:rPr>
          <w:rFonts w:ascii="Roboto" w:eastAsia="Roboto" w:hAnsi="Roboto" w:cs="Roboto"/>
        </w:rPr>
        <w:t xml:space="preserve"> </w:t>
      </w:r>
      <w:r>
        <w:rPr>
          <w:rFonts w:ascii="Roboto" w:eastAsia="Roboto" w:hAnsi="Roboto" w:cs="Roboto"/>
        </w:rPr>
        <w:t xml:space="preserve">con sus </w:t>
      </w:r>
      <w:proofErr w:type="spellStart"/>
      <w:r>
        <w:rPr>
          <w:rFonts w:ascii="Roboto" w:eastAsia="Roboto" w:hAnsi="Roboto" w:cs="Roboto"/>
          <w:i/>
          <w:iCs/>
        </w:rPr>
        <w:t>Interference</w:t>
      </w:r>
      <w:proofErr w:type="spellEnd"/>
      <w:r>
        <w:rPr>
          <w:rFonts w:ascii="Roboto" w:eastAsia="Roboto" w:hAnsi="Roboto" w:cs="Roboto"/>
          <w:i/>
          <w:iCs/>
        </w:rPr>
        <w:t xml:space="preserve"> </w:t>
      </w:r>
      <w:proofErr w:type="spellStart"/>
      <w:r>
        <w:rPr>
          <w:rFonts w:ascii="Roboto" w:eastAsia="Roboto" w:hAnsi="Roboto" w:cs="Roboto"/>
          <w:i/>
          <w:iCs/>
        </w:rPr>
        <w:t>Paintings</w:t>
      </w:r>
      <w:proofErr w:type="spellEnd"/>
      <w:r>
        <w:rPr>
          <w:rFonts w:ascii="Roboto" w:eastAsia="Roboto" w:hAnsi="Roboto" w:cs="Roboto"/>
        </w:rPr>
        <w:t xml:space="preserve"> exploran, mediante estructuras de círculos concéntricos, efectos ópticos de vibración y movimiento; y Los Dalton ponen el foco en las diferencias individuales de la percepción del color con su obra </w:t>
      </w:r>
      <w:r>
        <w:rPr>
          <w:rFonts w:ascii="Roboto" w:eastAsia="Roboto" w:hAnsi="Roboto" w:cs="Roboto"/>
          <w:i/>
          <w:iCs/>
        </w:rPr>
        <w:t>Línea</w:t>
      </w:r>
      <w:r>
        <w:rPr>
          <w:rFonts w:ascii="Roboto" w:eastAsia="Roboto" w:hAnsi="Roboto" w:cs="Roboto"/>
        </w:rPr>
        <w:t>. Este es el resultado</w:t>
      </w:r>
      <w:r>
        <w:rPr>
          <w:rFonts w:ascii="Roboto" w:eastAsia="Roboto" w:hAnsi="Roboto" w:cs="Roboto"/>
        </w:rPr>
        <w:t xml:space="preserve"> de una acción artística participativa desarrollada en el MUN el 15 de septiembre, en la que 30 voluntarios con daltonismo fueron invitados a continuar una línea de color sobre las paredes de la sala, seleccionando, entre muestras </w:t>
      </w:r>
      <w:r>
        <w:rPr>
          <w:rFonts w:ascii="Roboto" w:eastAsia="Roboto" w:hAnsi="Roboto" w:cs="Roboto"/>
        </w:rPr>
        <w:lastRenderedPageBreak/>
        <w:t>de pintura, el tono que c</w:t>
      </w:r>
      <w:r>
        <w:rPr>
          <w:rFonts w:ascii="Roboto" w:eastAsia="Roboto" w:hAnsi="Roboto" w:cs="Roboto"/>
        </w:rPr>
        <w:t xml:space="preserve">onsideraban más parecido al tramo anterior. El resultado pone en evidencia cómo un mismo color puede ser percibido de manera diferente por cada persona. </w:t>
      </w:r>
    </w:p>
    <w:p w14:paraId="031BF2BD" w14:textId="77777777" w:rsidR="00DC38D5" w:rsidRDefault="00B61D74">
      <w:pPr>
        <w:spacing w:before="240" w:after="240"/>
        <w:ind w:firstLine="720"/>
        <w:jc w:val="both"/>
        <w:rPr>
          <w:rFonts w:ascii="Roboto" w:eastAsia="Roboto" w:hAnsi="Roboto" w:cs="Roboto"/>
        </w:rPr>
      </w:pPr>
      <w:r>
        <w:rPr>
          <w:rFonts w:ascii="Roboto" w:eastAsia="Roboto" w:hAnsi="Roboto" w:cs="Roboto"/>
        </w:rPr>
        <w:t>De este modo, las obras no funcionan como creaciones aisladas, sino como distintas aproximaciones a un</w:t>
      </w:r>
      <w:r>
        <w:rPr>
          <w:rFonts w:ascii="Roboto" w:eastAsia="Roboto" w:hAnsi="Roboto" w:cs="Roboto"/>
        </w:rPr>
        <w:t xml:space="preserve"> mismo fenómeno. El recorrido se extiende además al atrio del museo, donde un espacio interactivo invita a experimentar algunos de los fenómenos abordados en la exposición. Esta aproximación se amplía desde la ciencia con el </w:t>
      </w:r>
      <w:r>
        <w:rPr>
          <w:rFonts w:ascii="Roboto" w:eastAsia="Roboto" w:hAnsi="Roboto" w:cs="Roboto"/>
          <w:b/>
          <w:bCs/>
        </w:rPr>
        <w:t>Museo de Ciencias de la Univers</w:t>
      </w:r>
      <w:r>
        <w:rPr>
          <w:rFonts w:ascii="Roboto" w:eastAsia="Roboto" w:hAnsi="Roboto" w:cs="Roboto"/>
          <w:b/>
          <w:bCs/>
        </w:rPr>
        <w:t>idad de Navarra</w:t>
      </w:r>
      <w:r>
        <w:rPr>
          <w:rFonts w:ascii="Roboto" w:eastAsia="Roboto" w:hAnsi="Roboto" w:cs="Roboto"/>
        </w:rPr>
        <w:t xml:space="preserve"> que inaugurará el próximo 8 de octubre </w:t>
      </w:r>
      <w:r>
        <w:rPr>
          <w:rFonts w:ascii="Roboto" w:eastAsia="Roboto" w:hAnsi="Roboto" w:cs="Roboto"/>
          <w:b/>
          <w:bCs/>
          <w:i/>
          <w:iCs/>
        </w:rPr>
        <w:t>Color. Una explosión de ciencia</w:t>
      </w:r>
      <w:r>
        <w:rPr>
          <w:rFonts w:ascii="Roboto" w:eastAsia="Roboto" w:hAnsi="Roboto" w:cs="Roboto"/>
        </w:rPr>
        <w:t>, una muestra que abordará el color desde la ciencia. Ambas propuestas, vinculadas por un mismo objeto de investigación, ofrecen dos aproximaciones complementarias al fen</w:t>
      </w:r>
      <w:r>
        <w:rPr>
          <w:rFonts w:ascii="Roboto" w:eastAsia="Roboto" w:hAnsi="Roboto" w:cs="Roboto"/>
        </w:rPr>
        <w:t xml:space="preserve">ómeno del color. </w:t>
      </w:r>
    </w:p>
    <w:p w14:paraId="623BF335" w14:textId="77777777" w:rsidR="00DC38D5" w:rsidRDefault="00B61D74">
      <w:pPr>
        <w:jc w:val="both"/>
        <w:rPr>
          <w:rFonts w:ascii="Roboto" w:eastAsia="Roboto" w:hAnsi="Roboto" w:cs="Roboto"/>
          <w:b/>
          <w:bCs/>
        </w:rPr>
      </w:pPr>
      <w:r>
        <w:rPr>
          <w:rFonts w:ascii="Roboto" w:eastAsia="Roboto" w:hAnsi="Roboto" w:cs="Roboto"/>
          <w:b/>
          <w:bCs/>
        </w:rPr>
        <w:t xml:space="preserve">LA EXPOSICIÓN AMPLÍA LA COLECCIÓN MUN </w:t>
      </w:r>
    </w:p>
    <w:p w14:paraId="30EE1B17" w14:textId="77777777" w:rsidR="00DC38D5" w:rsidRDefault="00B61D74">
      <w:pPr>
        <w:jc w:val="both"/>
        <w:rPr>
          <w:rFonts w:ascii="Roboto" w:eastAsia="Roboto" w:hAnsi="Roboto" w:cs="Roboto"/>
        </w:rPr>
      </w:pPr>
      <w:r>
        <w:rPr>
          <w:rFonts w:ascii="Roboto" w:eastAsia="Roboto" w:hAnsi="Roboto" w:cs="Roboto"/>
        </w:rPr>
        <w:tab/>
        <w:t xml:space="preserve">El diálogo entre arte, filosofía y ciencia que articula </w:t>
      </w:r>
      <w:r>
        <w:rPr>
          <w:rFonts w:ascii="Roboto" w:eastAsia="Roboto" w:hAnsi="Roboto" w:cs="Roboto"/>
          <w:b/>
          <w:bCs/>
          <w:i/>
          <w:iCs/>
        </w:rPr>
        <w:t>En vivo y en directo: color, percepción y experiencia</w:t>
      </w:r>
      <w:r>
        <w:rPr>
          <w:rFonts w:ascii="Roboto" w:eastAsia="Roboto" w:hAnsi="Roboto" w:cs="Roboto"/>
        </w:rPr>
        <w:t xml:space="preserve"> tiene también una continuidad en la </w:t>
      </w:r>
      <w:r>
        <w:rPr>
          <w:rFonts w:ascii="Roboto" w:eastAsia="Roboto" w:hAnsi="Roboto" w:cs="Roboto"/>
          <w:b/>
          <w:bCs/>
        </w:rPr>
        <w:t>Colección MUN</w:t>
      </w:r>
      <w:r>
        <w:rPr>
          <w:rFonts w:ascii="Roboto" w:eastAsia="Roboto" w:hAnsi="Roboto" w:cs="Roboto"/>
        </w:rPr>
        <w:t xml:space="preserve">. Con motivo de la exposición, el museo ha incorporado a su Colección dos obras que forman parte del recorrido: las serigrafías de </w:t>
      </w:r>
      <w:proofErr w:type="spellStart"/>
      <w:r>
        <w:rPr>
          <w:rFonts w:ascii="Roboto" w:eastAsia="Roboto" w:hAnsi="Roboto" w:cs="Roboto"/>
          <w:b/>
          <w:bCs/>
          <w:i/>
          <w:iCs/>
        </w:rPr>
        <w:t>Interaction</w:t>
      </w:r>
      <w:proofErr w:type="spellEnd"/>
      <w:r>
        <w:rPr>
          <w:rFonts w:ascii="Roboto" w:eastAsia="Roboto" w:hAnsi="Roboto" w:cs="Roboto"/>
          <w:b/>
          <w:bCs/>
          <w:i/>
          <w:iCs/>
        </w:rPr>
        <w:t xml:space="preserve"> </w:t>
      </w:r>
      <w:proofErr w:type="spellStart"/>
      <w:r>
        <w:rPr>
          <w:rFonts w:ascii="Roboto" w:eastAsia="Roboto" w:hAnsi="Roboto" w:cs="Roboto"/>
          <w:b/>
          <w:bCs/>
          <w:i/>
          <w:iCs/>
        </w:rPr>
        <w:t>of</w:t>
      </w:r>
      <w:proofErr w:type="spellEnd"/>
      <w:r>
        <w:rPr>
          <w:rFonts w:ascii="Roboto" w:eastAsia="Roboto" w:hAnsi="Roboto" w:cs="Roboto"/>
          <w:b/>
          <w:bCs/>
          <w:i/>
          <w:iCs/>
        </w:rPr>
        <w:t xml:space="preserve"> Color</w:t>
      </w:r>
      <w:r>
        <w:rPr>
          <w:rFonts w:ascii="Roboto" w:eastAsia="Roboto" w:hAnsi="Roboto" w:cs="Roboto"/>
        </w:rPr>
        <w:t xml:space="preserve">, de </w:t>
      </w:r>
      <w:r>
        <w:rPr>
          <w:rFonts w:ascii="Roboto" w:eastAsia="Roboto" w:hAnsi="Roboto" w:cs="Roboto"/>
          <w:b/>
          <w:bCs/>
        </w:rPr>
        <w:t>Josef Albers</w:t>
      </w:r>
      <w:r>
        <w:rPr>
          <w:rFonts w:ascii="Roboto" w:eastAsia="Roboto" w:hAnsi="Roboto" w:cs="Roboto"/>
        </w:rPr>
        <w:t xml:space="preserve">, pertenecientes a la edición original publicada por Yale </w:t>
      </w:r>
      <w:proofErr w:type="spellStart"/>
      <w:r>
        <w:rPr>
          <w:rFonts w:ascii="Roboto" w:eastAsia="Roboto" w:hAnsi="Roboto" w:cs="Roboto"/>
        </w:rPr>
        <w:t>University</w:t>
      </w:r>
      <w:proofErr w:type="spellEnd"/>
      <w:r>
        <w:rPr>
          <w:rFonts w:ascii="Roboto" w:eastAsia="Roboto" w:hAnsi="Roboto" w:cs="Roboto"/>
        </w:rPr>
        <w:t xml:space="preserve"> </w:t>
      </w:r>
      <w:proofErr w:type="spellStart"/>
      <w:r>
        <w:rPr>
          <w:rFonts w:ascii="Roboto" w:eastAsia="Roboto" w:hAnsi="Roboto" w:cs="Roboto"/>
        </w:rPr>
        <w:t>Press</w:t>
      </w:r>
      <w:proofErr w:type="spellEnd"/>
      <w:r>
        <w:rPr>
          <w:rFonts w:ascii="Roboto" w:eastAsia="Roboto" w:hAnsi="Roboto" w:cs="Roboto"/>
        </w:rPr>
        <w:t xml:space="preserve"> en 1963, y </w:t>
      </w:r>
      <w:r>
        <w:rPr>
          <w:rFonts w:ascii="Roboto" w:eastAsia="Roboto" w:hAnsi="Roboto" w:cs="Roboto"/>
          <w:b/>
          <w:bCs/>
          <w:i/>
          <w:iCs/>
        </w:rPr>
        <w:t>RG</w:t>
      </w:r>
      <w:r>
        <w:rPr>
          <w:rFonts w:ascii="Roboto" w:eastAsia="Roboto" w:hAnsi="Roboto" w:cs="Roboto"/>
          <w:b/>
          <w:bCs/>
          <w:i/>
          <w:iCs/>
        </w:rPr>
        <w:t>B/CMY</w:t>
      </w:r>
      <w:r>
        <w:rPr>
          <w:rFonts w:ascii="Roboto" w:eastAsia="Roboto" w:hAnsi="Roboto" w:cs="Roboto"/>
        </w:rPr>
        <w:t xml:space="preserve">, de </w:t>
      </w:r>
      <w:r>
        <w:rPr>
          <w:rFonts w:ascii="Roboto" w:eastAsia="Roboto" w:hAnsi="Roboto" w:cs="Roboto"/>
          <w:b/>
          <w:bCs/>
        </w:rPr>
        <w:t xml:space="preserve">Karina </w:t>
      </w:r>
      <w:proofErr w:type="spellStart"/>
      <w:r>
        <w:rPr>
          <w:rFonts w:ascii="Roboto" w:eastAsia="Roboto" w:hAnsi="Roboto" w:cs="Roboto"/>
          <w:b/>
          <w:bCs/>
        </w:rPr>
        <w:t>Peisajovich</w:t>
      </w:r>
      <w:proofErr w:type="spellEnd"/>
      <w:r>
        <w:rPr>
          <w:rFonts w:ascii="Roboto" w:eastAsia="Roboto" w:hAnsi="Roboto" w:cs="Roboto"/>
        </w:rPr>
        <w:t>. Ambas obras permiten ampliar la presencia en la colección de la investigación desarrollada por Albers, en el contexto del arte moderno, y su continuidad en las prácticas contemporáneas. De este modo, y a partir de ahora, la gr</w:t>
      </w:r>
      <w:r>
        <w:rPr>
          <w:rFonts w:ascii="Roboto" w:eastAsia="Roboto" w:hAnsi="Roboto" w:cs="Roboto"/>
        </w:rPr>
        <w:t>an exposición temática del año en el MUN, como es la que ahora se presenta, contribuirá al crecimiento de la Colección MUN.</w:t>
      </w:r>
    </w:p>
    <w:p w14:paraId="3991FBE0" w14:textId="77777777" w:rsidR="00DC38D5" w:rsidRDefault="00B61D74">
      <w:pPr>
        <w:jc w:val="both"/>
        <w:rPr>
          <w:rFonts w:ascii="Roboto" w:eastAsia="Roboto" w:hAnsi="Roboto" w:cs="Roboto"/>
          <w:b/>
          <w:bCs/>
        </w:rPr>
      </w:pPr>
      <w:r>
        <w:rPr>
          <w:rFonts w:ascii="Roboto" w:eastAsia="Roboto" w:hAnsi="Roboto" w:cs="Roboto"/>
          <w:b/>
          <w:bCs/>
        </w:rPr>
        <w:t>PRÓXIMAS CITAS EN TORNO A LA MUESTRA</w:t>
      </w:r>
    </w:p>
    <w:p w14:paraId="307894E5" w14:textId="77777777" w:rsidR="00DC38D5" w:rsidRDefault="00B61D74">
      <w:pPr>
        <w:jc w:val="both"/>
        <w:rPr>
          <w:rFonts w:ascii="Roboto" w:eastAsia="Roboto" w:hAnsi="Roboto" w:cs="Roboto"/>
        </w:rPr>
      </w:pPr>
      <w:r>
        <w:rPr>
          <w:rFonts w:ascii="Roboto" w:eastAsia="Roboto" w:hAnsi="Roboto" w:cs="Roboto"/>
        </w:rPr>
        <w:tab/>
        <w:t xml:space="preserve">La exposición se completa con la edición del catálogo </w:t>
      </w:r>
      <w:r>
        <w:rPr>
          <w:rFonts w:ascii="Roboto" w:eastAsia="Roboto" w:hAnsi="Roboto" w:cs="Roboto"/>
          <w:b/>
          <w:bCs/>
          <w:i/>
          <w:iCs/>
        </w:rPr>
        <w:t xml:space="preserve">En vivo y en directo: color, percepción </w:t>
      </w:r>
      <w:r>
        <w:rPr>
          <w:rFonts w:ascii="Roboto" w:eastAsia="Roboto" w:hAnsi="Roboto" w:cs="Roboto"/>
          <w:b/>
          <w:bCs/>
          <w:i/>
          <w:iCs/>
        </w:rPr>
        <w:t>y experiencia</w:t>
      </w:r>
      <w:r>
        <w:rPr>
          <w:rFonts w:ascii="Roboto" w:eastAsia="Roboto" w:hAnsi="Roboto" w:cs="Roboto"/>
        </w:rPr>
        <w:t xml:space="preserve"> que cuenta con textos de autores como Tina Carita </w:t>
      </w:r>
      <w:proofErr w:type="spellStart"/>
      <w:r>
        <w:rPr>
          <w:rFonts w:ascii="Roboto" w:eastAsia="Roboto" w:hAnsi="Roboto" w:cs="Roboto"/>
        </w:rPr>
        <w:t>Rosenqvist</w:t>
      </w:r>
      <w:proofErr w:type="spellEnd"/>
      <w:r>
        <w:rPr>
          <w:rFonts w:ascii="Roboto" w:eastAsia="Roboto" w:hAnsi="Roboto" w:cs="Roboto"/>
        </w:rPr>
        <w:t xml:space="preserve">, Julia J. C. Blau &amp; James Dixon y Richard O. </w:t>
      </w:r>
      <w:proofErr w:type="spellStart"/>
      <w:r>
        <w:rPr>
          <w:rFonts w:ascii="Roboto" w:eastAsia="Roboto" w:hAnsi="Roboto" w:cs="Roboto"/>
        </w:rPr>
        <w:t>Prum</w:t>
      </w:r>
      <w:proofErr w:type="spellEnd"/>
      <w:r>
        <w:rPr>
          <w:rFonts w:ascii="Roboto" w:eastAsia="Roboto" w:hAnsi="Roboto" w:cs="Roboto"/>
        </w:rPr>
        <w:t xml:space="preserve">, así como textos de los comisarios Gabriel Pérez-Barreiro y Nathaniel Barrett. </w:t>
      </w:r>
    </w:p>
    <w:p w14:paraId="1CF4EAD6" w14:textId="77777777" w:rsidR="00DC38D5" w:rsidRDefault="00B61D74">
      <w:pPr>
        <w:ind w:firstLine="720"/>
        <w:jc w:val="both"/>
        <w:rPr>
          <w:rFonts w:ascii="Roboto" w:eastAsia="Roboto" w:hAnsi="Roboto" w:cs="Roboto"/>
        </w:rPr>
      </w:pPr>
      <w:r>
        <w:rPr>
          <w:rFonts w:ascii="Roboto" w:eastAsia="Roboto" w:hAnsi="Roboto" w:cs="Roboto"/>
        </w:rPr>
        <w:t>Además, inspirándose en esta muestra y como resulta</w:t>
      </w:r>
      <w:r>
        <w:rPr>
          <w:rFonts w:ascii="Roboto" w:eastAsia="Roboto" w:hAnsi="Roboto" w:cs="Roboto"/>
        </w:rPr>
        <w:t xml:space="preserve">do de su participación en el programa de residencias artísticas de artes escénicas del Museo, los días 23 y 24 de octubre se estrenará </w:t>
      </w:r>
      <w:r>
        <w:rPr>
          <w:rFonts w:ascii="Roboto" w:eastAsia="Roboto" w:hAnsi="Roboto" w:cs="Roboto"/>
          <w:b/>
          <w:bCs/>
          <w:i/>
          <w:iCs/>
        </w:rPr>
        <w:t>Resonancias</w:t>
      </w:r>
      <w:r>
        <w:rPr>
          <w:rFonts w:ascii="Roboto" w:eastAsia="Roboto" w:hAnsi="Roboto" w:cs="Roboto"/>
        </w:rPr>
        <w:t xml:space="preserve">. Una </w:t>
      </w:r>
      <w:r>
        <w:rPr>
          <w:rFonts w:ascii="Roboto" w:eastAsia="Roboto" w:hAnsi="Roboto" w:cs="Roboto"/>
          <w:i/>
          <w:iCs/>
        </w:rPr>
        <w:t>performance</w:t>
      </w:r>
      <w:r>
        <w:rPr>
          <w:rFonts w:ascii="Roboto" w:eastAsia="Roboto" w:hAnsi="Roboto" w:cs="Roboto"/>
        </w:rPr>
        <w:t xml:space="preserve"> de Yaiza Pinillos y Olga </w:t>
      </w:r>
      <w:proofErr w:type="spellStart"/>
      <w:r>
        <w:rPr>
          <w:rFonts w:ascii="Roboto" w:eastAsia="Roboto" w:hAnsi="Roboto" w:cs="Roboto"/>
        </w:rPr>
        <w:t>Pericet</w:t>
      </w:r>
      <w:proofErr w:type="spellEnd"/>
      <w:r>
        <w:rPr>
          <w:rFonts w:ascii="Roboto" w:eastAsia="Roboto" w:hAnsi="Roboto" w:cs="Roboto"/>
        </w:rPr>
        <w:t>, en las salas expositivas, que traslada al ámbito del movim</w:t>
      </w:r>
      <w:r>
        <w:rPr>
          <w:rFonts w:ascii="Roboto" w:eastAsia="Roboto" w:hAnsi="Roboto" w:cs="Roboto"/>
        </w:rPr>
        <w:t>iento y el sonido algunas de las cuestiones que plantea la exposición. La pieza incorpora el vestuario y objetos diseñados por Yaiza Pinillos en colaboración con estudiantes de Diseño de Moda de la Escuela Técnica Superior de Arquitectura de la Universidad</w:t>
      </w:r>
      <w:r>
        <w:rPr>
          <w:rFonts w:ascii="Roboto" w:eastAsia="Roboto" w:hAnsi="Roboto" w:cs="Roboto"/>
        </w:rPr>
        <w:t xml:space="preserve"> de Navarra.</w:t>
      </w:r>
    </w:p>
    <w:p w14:paraId="7AE1DED1" w14:textId="77777777" w:rsidR="00DC38D5" w:rsidRDefault="00B61D74">
      <w:pPr>
        <w:ind w:firstLine="720"/>
        <w:jc w:val="both"/>
        <w:rPr>
          <w:rFonts w:ascii="Roboto" w:eastAsia="Roboto" w:hAnsi="Roboto" w:cs="Roboto"/>
        </w:rPr>
      </w:pPr>
      <w:r>
        <w:rPr>
          <w:rFonts w:ascii="Roboto" w:eastAsia="Roboto" w:hAnsi="Roboto" w:cs="Roboto"/>
        </w:rPr>
        <w:t xml:space="preserve">La programación continuará en los próximos meses con un ciclo interdisciplinar de conferencias organizado conjuntamente con el Museo de Ciencias en el </w:t>
      </w:r>
      <w:proofErr w:type="spellStart"/>
      <w:r>
        <w:rPr>
          <w:rFonts w:ascii="Roboto" w:eastAsia="Roboto" w:hAnsi="Roboto" w:cs="Roboto"/>
        </w:rPr>
        <w:t>Civivox</w:t>
      </w:r>
      <w:proofErr w:type="spellEnd"/>
      <w:r>
        <w:rPr>
          <w:rFonts w:ascii="Roboto" w:eastAsia="Roboto" w:hAnsi="Roboto" w:cs="Roboto"/>
        </w:rPr>
        <w:t xml:space="preserve"> de Iturrama para público general. Talleres y encuentros con artistas, que cuentan co</w:t>
      </w:r>
      <w:r>
        <w:rPr>
          <w:rFonts w:ascii="Roboto" w:eastAsia="Roboto" w:hAnsi="Roboto" w:cs="Roboto"/>
        </w:rPr>
        <w:t xml:space="preserve">n el apoyo del Ayuntamiento de Pamplona, completarán la oferta de actividades en torno a la muestra. </w:t>
      </w:r>
    </w:p>
    <w:p w14:paraId="462DF847" w14:textId="77777777" w:rsidR="00DC38D5" w:rsidRDefault="00DC38D5">
      <w:pPr>
        <w:ind w:firstLine="720"/>
        <w:jc w:val="both"/>
        <w:rPr>
          <w:rFonts w:ascii="Roboto" w:eastAsia="Roboto" w:hAnsi="Roboto" w:cs="Roboto"/>
        </w:rPr>
      </w:pPr>
    </w:p>
    <w:p w14:paraId="6C9A9B79" w14:textId="77777777" w:rsidR="00DC38D5" w:rsidRDefault="00DC38D5">
      <w:pPr>
        <w:ind w:firstLine="720"/>
        <w:jc w:val="both"/>
        <w:rPr>
          <w:rFonts w:ascii="Roboto" w:eastAsia="Roboto" w:hAnsi="Roboto" w:cs="Roboto"/>
        </w:rPr>
      </w:pPr>
    </w:p>
    <w:p w14:paraId="024B6F71" w14:textId="28161FA9" w:rsidR="00DC38D5" w:rsidRDefault="00DC38D5">
      <w:pPr>
        <w:jc w:val="both"/>
        <w:rPr>
          <w:rFonts w:ascii="Roboto" w:eastAsia="Roboto" w:hAnsi="Roboto" w:cs="Roboto"/>
        </w:rPr>
      </w:pPr>
    </w:p>
    <w:p w14:paraId="324B0033" w14:textId="77777777" w:rsidR="00CD7CB2" w:rsidRDefault="00CD7CB2">
      <w:pPr>
        <w:jc w:val="both"/>
        <w:rPr>
          <w:rFonts w:ascii="Roboto" w:eastAsia="Roboto" w:hAnsi="Roboto" w:cs="Roboto"/>
        </w:rPr>
      </w:pPr>
    </w:p>
    <w:tbl>
      <w:tblPr>
        <w:tblStyle w:val="a1"/>
        <w:tblW w:w="9634" w:type="dxa"/>
        <w:tblInd w:w="0" w:type="dxa"/>
        <w:tblLayout w:type="fixed"/>
        <w:tblLook w:val="0400" w:firstRow="0" w:lastRow="0" w:firstColumn="0" w:lastColumn="0" w:noHBand="0" w:noVBand="1"/>
      </w:tblPr>
      <w:tblGrid>
        <w:gridCol w:w="9634"/>
      </w:tblGrid>
      <w:tr w:rsidR="00DC38D5" w14:paraId="57124EFB" w14:textId="77777777">
        <w:tc>
          <w:tcPr>
            <w:tcW w:w="9634" w:type="dxa"/>
            <w:tcBorders>
              <w:top w:val="single" w:sz="4" w:space="0" w:color="000000"/>
              <w:left w:val="single" w:sz="4" w:space="0" w:color="000000"/>
              <w:bottom w:val="single" w:sz="4" w:space="0" w:color="000000"/>
              <w:right w:val="single" w:sz="4" w:space="0" w:color="000000"/>
            </w:tcBorders>
            <w:shd w:val="clear" w:color="auto" w:fill="CFE2F3"/>
            <w:tcMar>
              <w:top w:w="0" w:type="dxa"/>
              <w:left w:w="108" w:type="dxa"/>
              <w:bottom w:w="0" w:type="dxa"/>
              <w:right w:w="108" w:type="dxa"/>
            </w:tcMar>
          </w:tcPr>
          <w:p w14:paraId="22FEE68B" w14:textId="77777777" w:rsidR="00DC38D5" w:rsidRDefault="00B61D74">
            <w:pPr>
              <w:spacing w:after="0" w:line="240" w:lineRule="auto"/>
              <w:jc w:val="both"/>
              <w:rPr>
                <w:rFonts w:ascii="Roboto" w:eastAsia="Roboto" w:hAnsi="Roboto" w:cs="Roboto"/>
                <w:b/>
                <w:bCs/>
                <w:sz w:val="24"/>
                <w:szCs w:val="24"/>
                <w:u w:val="single"/>
              </w:rPr>
            </w:pPr>
            <w:r>
              <w:rPr>
                <w:rFonts w:ascii="Roboto" w:eastAsia="Roboto" w:hAnsi="Roboto" w:cs="Roboto"/>
                <w:b/>
                <w:bCs/>
                <w:sz w:val="24"/>
                <w:szCs w:val="24"/>
                <w:u w:val="single"/>
              </w:rPr>
              <w:lastRenderedPageBreak/>
              <w:t>EN VIVO Y EN DIRECTO: COLOR, PERCEPCIÓN Y EXPERIENCIA</w:t>
            </w:r>
          </w:p>
          <w:p w14:paraId="27DF2796" w14:textId="77777777" w:rsidR="00DC38D5" w:rsidRDefault="00DC38D5">
            <w:pPr>
              <w:spacing w:after="0" w:line="240" w:lineRule="auto"/>
              <w:jc w:val="both"/>
              <w:rPr>
                <w:rFonts w:ascii="Roboto" w:eastAsia="Roboto" w:hAnsi="Roboto" w:cs="Roboto"/>
                <w:b/>
                <w:bCs/>
                <w:sz w:val="24"/>
                <w:szCs w:val="24"/>
              </w:rPr>
            </w:pPr>
          </w:p>
          <w:p w14:paraId="36FE5BBE" w14:textId="77777777" w:rsidR="00DC38D5" w:rsidRDefault="00B61D74">
            <w:pPr>
              <w:rPr>
                <w:rFonts w:ascii="Roboto" w:eastAsia="Roboto" w:hAnsi="Roboto" w:cs="Roboto"/>
                <w:sz w:val="24"/>
                <w:szCs w:val="24"/>
                <w:shd w:val="clear" w:color="auto" w:fill="CFE2F3"/>
                <w:vertAlign w:val="superscript"/>
              </w:rPr>
            </w:pPr>
            <w:r>
              <w:rPr>
                <w:rFonts w:ascii="Roboto" w:eastAsia="Roboto" w:hAnsi="Roboto" w:cs="Roboto"/>
                <w:b/>
                <w:bCs/>
                <w:sz w:val="24"/>
                <w:szCs w:val="24"/>
              </w:rPr>
              <w:t>Autores</w:t>
            </w:r>
            <w:r>
              <w:rPr>
                <w:rFonts w:ascii="Roboto" w:eastAsia="Roboto" w:hAnsi="Roboto" w:cs="Roboto"/>
                <w:sz w:val="24"/>
                <w:szCs w:val="24"/>
              </w:rPr>
              <w:t xml:space="preserve">: Josef Albers, Carlos Cruz-Diez, Karina </w:t>
            </w:r>
            <w:proofErr w:type="spellStart"/>
            <w:r>
              <w:rPr>
                <w:rFonts w:ascii="Roboto" w:eastAsia="Roboto" w:hAnsi="Roboto" w:cs="Roboto"/>
                <w:sz w:val="24"/>
                <w:szCs w:val="24"/>
              </w:rPr>
              <w:t>Peisajovich</w:t>
            </w:r>
            <w:proofErr w:type="spellEnd"/>
            <w:r>
              <w:rPr>
                <w:rFonts w:ascii="Roboto" w:eastAsia="Roboto" w:hAnsi="Roboto" w:cs="Roboto"/>
                <w:sz w:val="24"/>
                <w:szCs w:val="24"/>
              </w:rPr>
              <w:t xml:space="preserve">, Anoka </w:t>
            </w:r>
            <w:proofErr w:type="spellStart"/>
            <w:r>
              <w:rPr>
                <w:rFonts w:ascii="Roboto" w:eastAsia="Roboto" w:hAnsi="Roboto" w:cs="Roboto"/>
                <w:sz w:val="24"/>
                <w:szCs w:val="24"/>
              </w:rPr>
              <w:t>Faruqee</w:t>
            </w:r>
            <w:proofErr w:type="spellEnd"/>
            <w:r>
              <w:rPr>
                <w:rFonts w:ascii="Roboto" w:eastAsia="Roboto" w:hAnsi="Roboto" w:cs="Roboto"/>
                <w:sz w:val="24"/>
                <w:szCs w:val="24"/>
              </w:rPr>
              <w:t xml:space="preserve"> &amp; David </w:t>
            </w:r>
            <w:proofErr w:type="spellStart"/>
            <w:r>
              <w:rPr>
                <w:rFonts w:ascii="Roboto" w:eastAsia="Roboto" w:hAnsi="Roboto" w:cs="Roboto"/>
                <w:sz w:val="24"/>
                <w:szCs w:val="24"/>
              </w:rPr>
              <w:t>Driscoll</w:t>
            </w:r>
            <w:proofErr w:type="spellEnd"/>
            <w:r>
              <w:rPr>
                <w:rFonts w:ascii="Roboto" w:eastAsia="Roboto" w:hAnsi="Roboto" w:cs="Roboto"/>
                <w:sz w:val="24"/>
                <w:szCs w:val="24"/>
              </w:rPr>
              <w:t xml:space="preserve"> y Los Dalton, colectivo formado por Miguel Fructuoso, María Sánchez y Miguel Ángel Tornero. </w:t>
            </w:r>
            <w:r>
              <w:rPr>
                <w:rFonts w:ascii="Roboto" w:eastAsia="Roboto" w:hAnsi="Roboto" w:cs="Roboto"/>
                <w:sz w:val="24"/>
                <w:szCs w:val="24"/>
                <w:shd w:val="clear" w:color="auto" w:fill="CFE2F3"/>
                <w:vertAlign w:val="superscript"/>
              </w:rPr>
              <w:br/>
            </w:r>
            <w:r>
              <w:rPr>
                <w:rFonts w:ascii="Roboto" w:eastAsia="Roboto" w:hAnsi="Roboto" w:cs="Roboto"/>
                <w:b/>
                <w:bCs/>
                <w:sz w:val="24"/>
                <w:szCs w:val="24"/>
              </w:rPr>
              <w:t>Comisarios</w:t>
            </w:r>
            <w:r>
              <w:rPr>
                <w:rFonts w:ascii="Roboto" w:eastAsia="Roboto" w:hAnsi="Roboto" w:cs="Roboto"/>
                <w:sz w:val="24"/>
                <w:szCs w:val="24"/>
              </w:rPr>
              <w:t>: Gabriel Pérez-Barreiro y Nathaniel Barrett</w:t>
            </w:r>
            <w:r>
              <w:rPr>
                <w:rFonts w:ascii="Roboto" w:eastAsia="Roboto" w:hAnsi="Roboto" w:cs="Roboto"/>
                <w:sz w:val="24"/>
                <w:szCs w:val="24"/>
                <w:shd w:val="clear" w:color="auto" w:fill="CFE2F3"/>
                <w:vertAlign w:val="superscript"/>
              </w:rPr>
              <w:br/>
            </w:r>
            <w:r>
              <w:rPr>
                <w:rFonts w:ascii="Roboto" w:eastAsia="Roboto" w:hAnsi="Roboto" w:cs="Roboto"/>
                <w:b/>
                <w:bCs/>
                <w:sz w:val="24"/>
                <w:szCs w:val="24"/>
              </w:rPr>
              <w:t>Producida por</w:t>
            </w:r>
            <w:r>
              <w:rPr>
                <w:rFonts w:ascii="Roboto" w:eastAsia="Roboto" w:hAnsi="Roboto" w:cs="Roboto"/>
                <w:sz w:val="24"/>
                <w:szCs w:val="24"/>
              </w:rPr>
              <w:t>: Museo Un</w:t>
            </w:r>
            <w:r>
              <w:rPr>
                <w:rFonts w:ascii="Roboto" w:eastAsia="Roboto" w:hAnsi="Roboto" w:cs="Roboto"/>
                <w:sz w:val="24"/>
                <w:szCs w:val="24"/>
              </w:rPr>
              <w:t>iversidad de Navarra</w:t>
            </w:r>
            <w:r>
              <w:rPr>
                <w:rFonts w:ascii="Roboto" w:eastAsia="Roboto" w:hAnsi="Roboto" w:cs="Roboto"/>
                <w:sz w:val="24"/>
                <w:szCs w:val="24"/>
                <w:shd w:val="clear" w:color="auto" w:fill="CFE2F3"/>
                <w:vertAlign w:val="superscript"/>
              </w:rPr>
              <w:br/>
            </w:r>
            <w:r>
              <w:rPr>
                <w:rFonts w:ascii="Roboto" w:eastAsia="Roboto" w:hAnsi="Roboto" w:cs="Roboto"/>
                <w:b/>
                <w:bCs/>
                <w:sz w:val="24"/>
                <w:szCs w:val="24"/>
              </w:rPr>
              <w:t>Fechas</w:t>
            </w:r>
            <w:r>
              <w:rPr>
                <w:rFonts w:ascii="Roboto" w:eastAsia="Roboto" w:hAnsi="Roboto" w:cs="Roboto"/>
                <w:sz w:val="24"/>
                <w:szCs w:val="24"/>
              </w:rPr>
              <w:t>: 16 de septiembre 2026 – 7 de febrero 2027</w:t>
            </w:r>
            <w:r>
              <w:rPr>
                <w:rFonts w:ascii="Roboto" w:eastAsia="Roboto" w:hAnsi="Roboto" w:cs="Roboto"/>
                <w:sz w:val="24"/>
                <w:szCs w:val="24"/>
                <w:shd w:val="clear" w:color="auto" w:fill="CFE2F3"/>
                <w:vertAlign w:val="superscript"/>
              </w:rPr>
              <w:br/>
            </w:r>
            <w:r>
              <w:rPr>
                <w:rFonts w:ascii="Roboto" w:eastAsia="Roboto" w:hAnsi="Roboto" w:cs="Roboto"/>
                <w:b/>
                <w:bCs/>
                <w:sz w:val="24"/>
                <w:szCs w:val="24"/>
              </w:rPr>
              <w:t>Lugar</w:t>
            </w:r>
            <w:r>
              <w:rPr>
                <w:rFonts w:ascii="Roboto" w:eastAsia="Roboto" w:hAnsi="Roboto" w:cs="Roboto"/>
                <w:sz w:val="24"/>
                <w:szCs w:val="24"/>
              </w:rPr>
              <w:t>: salas de las planta -1</w:t>
            </w:r>
          </w:p>
        </w:tc>
      </w:tr>
    </w:tbl>
    <w:p w14:paraId="746CCD8B" w14:textId="77777777" w:rsidR="00DC38D5" w:rsidRDefault="00DC38D5">
      <w:pPr>
        <w:spacing w:after="0" w:line="240" w:lineRule="auto"/>
        <w:rPr>
          <w:rFonts w:ascii="Roboto" w:eastAsia="Roboto" w:hAnsi="Roboto" w:cs="Roboto"/>
          <w:sz w:val="24"/>
          <w:szCs w:val="24"/>
        </w:rPr>
      </w:pPr>
    </w:p>
    <w:tbl>
      <w:tblPr>
        <w:tblStyle w:val="a2"/>
        <w:tblW w:w="9638" w:type="dxa"/>
        <w:tblInd w:w="0" w:type="dxa"/>
        <w:tblLayout w:type="fixed"/>
        <w:tblLook w:val="0400" w:firstRow="0" w:lastRow="0" w:firstColumn="0" w:lastColumn="0" w:noHBand="0" w:noVBand="1"/>
      </w:tblPr>
      <w:tblGrid>
        <w:gridCol w:w="9638"/>
      </w:tblGrid>
      <w:tr w:rsidR="00DC38D5" w:rsidRPr="00CD7CB2" w14:paraId="2C05D9E5" w14:textId="77777777">
        <w:tc>
          <w:tcPr>
            <w:tcW w:w="9638" w:type="dxa"/>
            <w:tcBorders>
              <w:top w:val="single" w:sz="8" w:space="0" w:color="000000"/>
              <w:left w:val="single" w:sz="8" w:space="0" w:color="000000"/>
              <w:bottom w:val="single" w:sz="8" w:space="0" w:color="000000"/>
              <w:right w:val="single" w:sz="8" w:space="0" w:color="000000"/>
            </w:tcBorders>
            <w:shd w:val="clear" w:color="auto" w:fill="F2DCDB"/>
            <w:tcMar>
              <w:top w:w="100" w:type="dxa"/>
              <w:left w:w="100" w:type="dxa"/>
              <w:bottom w:w="100" w:type="dxa"/>
              <w:right w:w="100" w:type="dxa"/>
            </w:tcMar>
          </w:tcPr>
          <w:p w14:paraId="0D164FF3" w14:textId="77777777" w:rsidR="00DC38D5" w:rsidRPr="00CD7CB2" w:rsidRDefault="00B61D74">
            <w:pPr>
              <w:spacing w:after="0" w:line="240" w:lineRule="auto"/>
              <w:rPr>
                <w:rFonts w:ascii="Roboto" w:eastAsia="Roboto" w:hAnsi="Roboto" w:cs="Roboto"/>
                <w:color w:val="434343"/>
                <w:lang w:val="en-US"/>
              </w:rPr>
            </w:pPr>
            <w:r w:rsidRPr="00CD7CB2">
              <w:rPr>
                <w:rFonts w:ascii="Roboto" w:eastAsia="Roboto" w:hAnsi="Roboto" w:cs="Roboto"/>
                <w:color w:val="434343"/>
                <w:lang w:val="en-US"/>
              </w:rPr>
              <w:t>Press site: https://museo.unav.edu/prensa/en-vivo-y-en-directo-color-percepcion-y-experiencia</w:t>
            </w:r>
          </w:p>
        </w:tc>
      </w:tr>
    </w:tbl>
    <w:p w14:paraId="7784FE01" w14:textId="77777777" w:rsidR="00DC38D5" w:rsidRPr="00CD7CB2" w:rsidRDefault="00DC38D5">
      <w:pPr>
        <w:jc w:val="both"/>
        <w:rPr>
          <w:rFonts w:ascii="Roboto" w:eastAsia="Roboto" w:hAnsi="Roboto" w:cs="Roboto"/>
          <w:lang w:val="en-US"/>
        </w:rPr>
      </w:pPr>
    </w:p>
    <w:p w14:paraId="44116812" w14:textId="77777777" w:rsidR="00DC38D5" w:rsidRPr="00CD7CB2" w:rsidRDefault="00DC38D5">
      <w:pPr>
        <w:jc w:val="both"/>
        <w:rPr>
          <w:rFonts w:ascii="Roboto" w:eastAsia="Roboto" w:hAnsi="Roboto" w:cs="Roboto"/>
          <w:lang w:val="en-US"/>
        </w:rPr>
      </w:pPr>
    </w:p>
    <w:p w14:paraId="6AD2502E" w14:textId="77777777" w:rsidR="00DC38D5" w:rsidRPr="00CD7CB2" w:rsidRDefault="00DC38D5">
      <w:pPr>
        <w:jc w:val="both"/>
        <w:rPr>
          <w:rFonts w:ascii="Roboto" w:eastAsia="Roboto" w:hAnsi="Roboto" w:cs="Roboto"/>
          <w:lang w:val="en-US"/>
        </w:rPr>
      </w:pPr>
    </w:p>
    <w:p w14:paraId="215AE628" w14:textId="77777777" w:rsidR="00DC38D5" w:rsidRPr="00CD7CB2" w:rsidRDefault="00DC38D5">
      <w:pPr>
        <w:jc w:val="both"/>
        <w:rPr>
          <w:rFonts w:ascii="Roboto" w:eastAsia="Roboto" w:hAnsi="Roboto" w:cs="Roboto"/>
          <w:lang w:val="en-US"/>
        </w:rPr>
      </w:pPr>
    </w:p>
    <w:p w14:paraId="373C404F" w14:textId="77777777" w:rsidR="00DC38D5" w:rsidRPr="00CD7CB2" w:rsidRDefault="00DC38D5">
      <w:pPr>
        <w:jc w:val="both"/>
        <w:rPr>
          <w:rFonts w:ascii="Roboto" w:eastAsia="Roboto" w:hAnsi="Roboto" w:cs="Roboto"/>
          <w:lang w:val="en-US"/>
        </w:rPr>
      </w:pPr>
    </w:p>
    <w:p w14:paraId="1D7BDDE2" w14:textId="77777777" w:rsidR="00DC38D5" w:rsidRPr="00CD7CB2" w:rsidRDefault="00DC38D5">
      <w:pPr>
        <w:jc w:val="both"/>
        <w:rPr>
          <w:rFonts w:ascii="Roboto" w:eastAsia="Roboto" w:hAnsi="Roboto" w:cs="Roboto"/>
          <w:lang w:val="en-US"/>
        </w:rPr>
      </w:pPr>
    </w:p>
    <w:p w14:paraId="33FBF002" w14:textId="77777777" w:rsidR="00DC38D5" w:rsidRPr="00CD7CB2" w:rsidRDefault="00DC38D5">
      <w:pPr>
        <w:jc w:val="both"/>
        <w:rPr>
          <w:rFonts w:ascii="Roboto" w:eastAsia="Roboto" w:hAnsi="Roboto" w:cs="Roboto"/>
          <w:lang w:val="en-US"/>
        </w:rPr>
      </w:pPr>
    </w:p>
    <w:p w14:paraId="63334C73" w14:textId="77777777" w:rsidR="00DC38D5" w:rsidRPr="00CD7CB2" w:rsidRDefault="00DC38D5">
      <w:pPr>
        <w:tabs>
          <w:tab w:val="left" w:pos="7370"/>
        </w:tabs>
        <w:rPr>
          <w:rFonts w:ascii="Roboto" w:eastAsia="Roboto" w:hAnsi="Roboto" w:cs="Roboto"/>
          <w:sz w:val="20"/>
          <w:szCs w:val="20"/>
          <w:lang w:val="en-US"/>
        </w:rPr>
      </w:pPr>
    </w:p>
    <w:sectPr w:rsidR="00DC38D5" w:rsidRPr="00CD7CB2">
      <w:headerReference w:type="default" r:id="rId7"/>
      <w:footerReference w:type="default" r:id="rId8"/>
      <w:pgSz w:w="11906" w:h="16838"/>
      <w:pgMar w:top="1134" w:right="1134" w:bottom="851" w:left="1134" w:header="566" w:footer="56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28C3B" w14:textId="77777777" w:rsidR="00B61D74" w:rsidRDefault="00B61D74">
      <w:pPr>
        <w:spacing w:after="0" w:line="240" w:lineRule="auto"/>
      </w:pPr>
      <w:r>
        <w:separator/>
      </w:r>
    </w:p>
  </w:endnote>
  <w:endnote w:type="continuationSeparator" w:id="0">
    <w:p w14:paraId="4D0F44AF" w14:textId="77777777" w:rsidR="00B61D74" w:rsidRDefault="00B61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B29F6FDF-92D2-4D79-9A5E-3A465488E469}"/>
    <w:embedBold r:id="rId2" w:fontKey="{8DD8E3A7-8905-4C75-9B36-AB595E5A0D0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6698801E-58DE-41DE-8C23-62ED3F875616}"/>
  </w:font>
  <w:font w:name="Roboto">
    <w:charset w:val="00"/>
    <w:family w:val="auto"/>
    <w:pitch w:val="default"/>
    <w:embedRegular r:id="rId4" w:fontKey="{3374EC9B-6D4D-4781-BF63-35C745070565}"/>
    <w:embedBold r:id="rId5" w:fontKey="{78C01633-D7E8-473C-AF90-B7D9FEE919B4}"/>
    <w:embedItalic r:id="rId6" w:fontKey="{86448AFE-09BD-4ED6-B848-E2BFDB5A5581}"/>
    <w:embedBoldItalic r:id="rId7" w:fontKey="{11B7285B-8AEE-4431-BF37-A0CA7B416C12}"/>
  </w:font>
  <w:font w:name="Cambria">
    <w:panose1 w:val="02040503050406030204"/>
    <w:charset w:val="00"/>
    <w:family w:val="roman"/>
    <w:pitch w:val="variable"/>
    <w:sig w:usb0="E00006FF" w:usb1="420024FF" w:usb2="02000000" w:usb3="00000000" w:csb0="0000019F" w:csb1="00000000"/>
    <w:embedRegular r:id="rId8" w:fontKey="{C0486EE8-306D-407B-9874-1A5416E3E3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AAA62" w14:textId="77777777" w:rsidR="00DC38D5" w:rsidRDefault="00B61D74">
    <w:pPr>
      <w:jc w:val="center"/>
    </w:pPr>
    <w:r>
      <w:rPr>
        <w:rFonts w:ascii="Roboto" w:eastAsia="Roboto" w:hAnsi="Roboto" w:cs="Roboto"/>
        <w:b/>
        <w:bCs/>
        <w:sz w:val="20"/>
        <w:szCs w:val="20"/>
      </w:rPr>
      <w:t>CONTACTO PRENSA MUN:</w:t>
    </w:r>
    <w:r>
      <w:rPr>
        <w:rFonts w:ascii="Roboto" w:eastAsia="Roboto" w:hAnsi="Roboto" w:cs="Roboto"/>
        <w:sz w:val="20"/>
        <w:szCs w:val="20"/>
      </w:rPr>
      <w:t xml:space="preserve">  Lucía Silvestre: </w:t>
    </w:r>
    <w:hyperlink r:id="rId1">
      <w:r>
        <w:rPr>
          <w:rFonts w:ascii="Roboto" w:eastAsia="Roboto" w:hAnsi="Roboto" w:cs="Roboto"/>
          <w:sz w:val="20"/>
          <w:szCs w:val="20"/>
          <w:u w:val="single"/>
        </w:rPr>
        <w:t>lsilvestreg@unav.es</w:t>
      </w:r>
    </w:hyperlink>
    <w:r>
      <w:rPr>
        <w:rFonts w:ascii="Roboto" w:eastAsia="Roboto" w:hAnsi="Roboto" w:cs="Roboto"/>
        <w:sz w:val="20"/>
        <w:szCs w:val="20"/>
      </w:rPr>
      <w:t xml:space="preserve"> / 948 425600 - Ext. 803409                           Elisa Montserrat: </w:t>
    </w:r>
    <w:hyperlink r:id="rId2">
      <w:r>
        <w:rPr>
          <w:rFonts w:ascii="Roboto" w:eastAsia="Roboto" w:hAnsi="Roboto" w:cs="Roboto"/>
          <w:color w:val="000000"/>
          <w:sz w:val="20"/>
          <w:szCs w:val="20"/>
          <w:u w:val="single"/>
        </w:rPr>
        <w:t>emontse@unav.es</w:t>
      </w:r>
    </w:hyperlink>
    <w:r>
      <w:rPr>
        <w:rFonts w:ascii="Roboto" w:eastAsia="Roboto" w:hAnsi="Roboto" w:cs="Roboto"/>
        <w:color w:val="000000"/>
        <w:sz w:val="20"/>
        <w:szCs w:val="20"/>
      </w:rPr>
      <w:t xml:space="preserve"> </w:t>
    </w:r>
    <w:r>
      <w:rPr>
        <w:rFonts w:ascii="Roboto" w:eastAsia="Roboto" w:hAnsi="Roboto" w:cs="Roboto"/>
        <w:sz w:val="20"/>
        <w:szCs w:val="20"/>
      </w:rPr>
      <w:t xml:space="preserve">/ 637532826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79353" w14:textId="77777777" w:rsidR="00B61D74" w:rsidRDefault="00B61D74">
      <w:pPr>
        <w:spacing w:after="0" w:line="240" w:lineRule="auto"/>
      </w:pPr>
      <w:r>
        <w:separator/>
      </w:r>
    </w:p>
  </w:footnote>
  <w:footnote w:type="continuationSeparator" w:id="0">
    <w:p w14:paraId="14A91D88" w14:textId="77777777" w:rsidR="00B61D74" w:rsidRDefault="00B61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42D80" w14:textId="77777777" w:rsidR="00DC38D5" w:rsidRDefault="00B61D74">
    <w:pPr>
      <w:ind w:right="-574"/>
      <w:jc w:val="right"/>
    </w:pPr>
    <w:r>
      <w:rPr>
        <w:rFonts w:ascii="Roboto" w:eastAsia="Roboto" w:hAnsi="Roboto" w:cs="Roboto"/>
        <w:b/>
        <w:bCs/>
        <w:noProof/>
        <w:sz w:val="28"/>
        <w:szCs w:val="28"/>
      </w:rPr>
      <w:drawing>
        <wp:inline distT="114300" distB="114300" distL="114300" distR="114300" wp14:anchorId="3D5A0011" wp14:editId="40C15FA5">
          <wp:extent cx="2491748" cy="408204"/>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22507" b="10787"/>
                  <a:stretch>
                    <a:fillRect/>
                  </a:stretch>
                </pic:blipFill>
                <pic:spPr>
                  <a:xfrm>
                    <a:off x="0" y="0"/>
                    <a:ext cx="2491748" cy="408204"/>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8D5"/>
    <w:rsid w:val="00B61D74"/>
    <w:rsid w:val="00CD7CB2"/>
    <w:rsid w:val="00DC38D5"/>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97150"/>
  <w15:docId w15:val="{0BEA0B18-3134-4BB4-BB0D-AE8101B19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 w:eastAsia="es-ES_trad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styleId="Hipervnculo">
    <w:name w:val="Hyperlink"/>
    <w:basedOn w:val="Fuentedeprrafopredeter"/>
    <w:uiPriority w:val="99"/>
    <w:unhideWhenUsed/>
    <w:rsid w:val="005210F9"/>
    <w:rPr>
      <w:color w:val="0000FF" w:themeColor="hyperlink"/>
      <w:u w:val="single"/>
    </w:rPr>
  </w:style>
  <w:style w:type="character" w:styleId="Mencinsinresolver">
    <w:name w:val="Unresolved Mention"/>
    <w:basedOn w:val="Fuentedeprrafopredeter"/>
    <w:uiPriority w:val="99"/>
    <w:semiHidden/>
    <w:unhideWhenUsed/>
    <w:rsid w:val="005210F9"/>
    <w:rPr>
      <w:color w:val="605E5C"/>
      <w:shd w:val="clear" w:color="auto" w:fill="E1DFDD"/>
    </w:rPr>
  </w:style>
  <w:style w:type="paragraph" w:styleId="NormalWeb">
    <w:name w:val="Normal (Web)"/>
    <w:basedOn w:val="Normal"/>
    <w:uiPriority w:val="99"/>
    <w:semiHidden/>
    <w:unhideWhenUsed/>
    <w:rsid w:val="00235EC9"/>
    <w:pPr>
      <w:spacing w:before="100" w:beforeAutospacing="1" w:after="100" w:afterAutospacing="1" w:line="240" w:lineRule="auto"/>
    </w:pPr>
    <w:rPr>
      <w:rFonts w:ascii="Times New Roman" w:eastAsia="Times New Roman" w:hAnsi="Times New Roman" w:cs="Times New Roman"/>
      <w:sz w:val="24"/>
      <w:szCs w:val="24"/>
      <w:lang w:val="es-ES_tradnl"/>
    </w:rPr>
  </w:style>
  <w:style w:type="character" w:styleId="Textoennegrita">
    <w:name w:val="Strong"/>
    <w:basedOn w:val="Fuentedeprrafopredeter"/>
    <w:uiPriority w:val="22"/>
    <w:qFormat/>
    <w:rsid w:val="00235EC9"/>
    <w:rPr>
      <w:b/>
      <w:bCs/>
    </w:rPr>
  </w:style>
  <w:style w:type="paragraph" w:styleId="Encabezado">
    <w:name w:val="header"/>
    <w:basedOn w:val="Normal"/>
    <w:link w:val="EncabezadoCar"/>
    <w:uiPriority w:val="99"/>
    <w:unhideWhenUsed/>
    <w:rsid w:val="00591D2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1D2E"/>
  </w:style>
  <w:style w:type="paragraph" w:styleId="Piedepgina">
    <w:name w:val="footer"/>
    <w:basedOn w:val="Normal"/>
    <w:link w:val="PiedepginaCar"/>
    <w:uiPriority w:val="99"/>
    <w:unhideWhenUsed/>
    <w:rsid w:val="00591D2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1D2E"/>
  </w:style>
  <w:style w:type="character" w:styleId="nfasis">
    <w:name w:val="Emphasis"/>
    <w:basedOn w:val="Fuentedeprrafopredeter"/>
    <w:uiPriority w:val="20"/>
    <w:qFormat/>
    <w:rsid w:val="00636229"/>
    <w:rPr>
      <w:i/>
      <w:iCs/>
    </w:rPr>
  </w:style>
  <w:style w:type="table" w:customStyle="1" w:styleId="a">
    <w:basedOn w:val="TableNormal1"/>
    <w:tblPr>
      <w:tblStyleRowBandSize w:val="1"/>
      <w:tblStyleColBandSize w:val="1"/>
      <w:tblCellMar>
        <w:top w:w="0" w:type="dxa"/>
        <w:left w:w="115" w:type="dxa"/>
        <w:bottom w:w="0" w:type="dxa"/>
        <w:right w:w="115" w:type="dxa"/>
      </w:tblCellMar>
    </w:tblPr>
  </w:style>
  <w:style w:type="table" w:customStyle="1" w:styleId="a0">
    <w:basedOn w:val="TableNormal1"/>
    <w:tblPr>
      <w:tblStyleRowBandSize w:val="1"/>
      <w:tblStyleColBandSize w:val="1"/>
      <w:tblCellMar>
        <w:top w:w="0" w:type="dxa"/>
        <w:left w:w="115" w:type="dxa"/>
        <w:bottom w:w="0" w:type="dxa"/>
        <w:right w:w="115"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1"/>
    <w:tblPr>
      <w:tblStyleRowBandSize w:val="1"/>
      <w:tblStyleColBandSize w:val="1"/>
      <w:tblCellMar>
        <w:top w:w="0" w:type="dxa"/>
        <w:left w:w="115" w:type="dxa"/>
        <w:bottom w:w="0" w:type="dxa"/>
        <w:right w:w="115" w:type="dxa"/>
      </w:tblCellMar>
    </w:tblPr>
  </w:style>
  <w:style w:type="table" w:customStyle="1" w:styleId="a2">
    <w:basedOn w:val="TableNormal1"/>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mailto:emontse@unav.es" TargetMode="External"/><Relationship Id="rId1" Type="http://schemas.openxmlformats.org/officeDocument/2006/relationships/hyperlink" Target="mailto:lsilvestreg@unav.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dX0nqJjkfW83+1Y1EkyDRX4oQw==">CgMxLjAyDmguOXNoNno5eHA2ZGpzOAByITFzZnp0TGQ5ZWFiTV9WbHFsVy1SR0YxOXFoejBHN2lDeQ==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1087</Words>
  <Characters>5979</Characters>
  <Application>Microsoft Office Word</Application>
  <DocSecurity>0</DocSecurity>
  <Lines>49</Lines>
  <Paragraphs>14</Paragraphs>
  <ScaleCrop>false</ScaleCrop>
  <Company/>
  <LinksUpToDate>false</LinksUpToDate>
  <CharactersWithSpaces>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Silvestre Grau</dc:creator>
  <cp:lastModifiedBy>Lucia Silvestre Grau</cp:lastModifiedBy>
  <cp:revision>2</cp:revision>
  <dcterms:created xsi:type="dcterms:W3CDTF">2026-09-13T15:49:00Z</dcterms:created>
  <dcterms:modified xsi:type="dcterms:W3CDTF">2026-09-16T10:54:00Z</dcterms:modified>
</cp:coreProperties>
</file>