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br w:type="textWrapping"/>
        <w:t xml:space="preserve">LA NUEVA MUESTRA ‘HABITUS ET PRAXIS: CUERPO, VESTIMENTA Y TRADICIÓN’ REVISITA EL LEGADO ORTIZ ECHAGÜE DESDE UNA PERSPECTIVA SOCIOLÓGICA Y CONTEMPORÁNEA SOBRE CÓMO LA TRADICIÓN SE INCORPORA A TRAVÉS DEL HÁBITO</w:t>
      </w:r>
    </w:p>
    <w:p w:rsidR="00000000" w:rsidDel="00000000" w:rsidP="00000000" w:rsidRDefault="00000000" w:rsidRPr="00000000" w14:paraId="00000002">
      <w:pPr>
        <w:ind w:firstLine="720"/>
        <w:jc w:val="center"/>
        <w:rPr>
          <w:rFonts w:ascii="Roboto" w:cs="Roboto" w:eastAsia="Roboto" w:hAnsi="Roboto"/>
          <w:b w:val="1"/>
          <w:bCs w:val="1"/>
          <w:sz w:val="20"/>
          <w:szCs w:val="20"/>
        </w:rPr>
      </w:pPr>
      <w:bookmarkStart w:colFirst="0" w:colLast="0" w:name="_heading=h.30j0zll" w:id="0"/>
      <w:bookmarkEnd w:id="0"/>
      <w:r w:rsidDel="00000000" w:rsidR="00000000" w:rsidRPr="00000000">
        <w:rPr>
          <w:rFonts w:ascii="Roboto" w:cs="Roboto" w:eastAsia="Roboto" w:hAnsi="Roboto"/>
          <w:b w:val="1"/>
          <w:bCs w:val="1"/>
          <w:sz w:val="20"/>
          <w:szCs w:val="20"/>
          <w:rtl w:val="0"/>
        </w:rPr>
        <w:t xml:space="preserve">La muestra plantea una reflexión contemporánea sobre cómo la vestimenta y la repetición de gestos y rituales configuran nuestra forma de habitar el mundo</w:t>
      </w:r>
    </w:p>
    <w:p w:rsidR="00000000" w:rsidDel="00000000" w:rsidP="00000000" w:rsidRDefault="00000000" w:rsidRPr="00000000" w14:paraId="00000003">
      <w:pPr>
        <w:ind w:firstLine="720"/>
        <w:jc w:val="center"/>
        <w:rPr>
          <w:rFonts w:ascii="Roboto" w:cs="Roboto" w:eastAsia="Roboto" w:hAnsi="Roboto"/>
          <w:b w:val="1"/>
          <w:bCs w:val="1"/>
          <w:sz w:val="20"/>
          <w:szCs w:val="20"/>
        </w:rPr>
      </w:pPr>
      <w:bookmarkStart w:colFirst="0" w:colLast="0" w:name="_heading=h.v8vxe27jhvf5" w:id="1"/>
      <w:bookmarkEnd w:id="1"/>
      <w:r w:rsidDel="00000000" w:rsidR="00000000" w:rsidRPr="00000000">
        <w:rPr>
          <w:rFonts w:ascii="Roboto" w:cs="Roboto" w:eastAsia="Roboto" w:hAnsi="Roboto"/>
          <w:b w:val="1"/>
          <w:bCs w:val="1"/>
          <w:sz w:val="20"/>
          <w:szCs w:val="20"/>
          <w:rtl w:val="0"/>
        </w:rPr>
        <w:t xml:space="preserve">Comisariada por Montaña González y Andrea Mirón, egresadas del Máster en Estudios de Comisariado del MUN, la exposición reúne una selección de obras en torno a la práctica religiosa  y la tradición popular</w:t>
      </w:r>
    </w:p>
    <w:p w:rsidR="00000000" w:rsidDel="00000000" w:rsidP="00000000" w:rsidRDefault="00000000" w:rsidRPr="00000000" w14:paraId="00000004">
      <w:pPr>
        <w:ind w:firstLine="720"/>
        <w:jc w:val="center"/>
        <w:rPr>
          <w:rFonts w:ascii="Roboto" w:cs="Roboto" w:eastAsia="Roboto" w:hAnsi="Roboto"/>
          <w:b w:val="1"/>
          <w:bCs w:val="1"/>
          <w:sz w:val="23"/>
          <w:szCs w:val="23"/>
        </w:rPr>
      </w:pPr>
      <w:r w:rsidDel="00000000" w:rsidR="00000000" w:rsidRPr="00000000">
        <w:rPr>
          <w:rFonts w:ascii="Roboto" w:cs="Roboto" w:eastAsia="Roboto" w:hAnsi="Roboto"/>
          <w:b w:val="1"/>
          <w:bCs w:val="1"/>
          <w:sz w:val="20"/>
          <w:szCs w:val="20"/>
          <w:rtl w:val="0"/>
        </w:rPr>
        <w:t xml:space="preserve">Podrá visitarse desde el 16 de octubre hasta el 18 de abril de 2027</w:t>
      </w:r>
      <w:r w:rsidDel="00000000" w:rsidR="00000000" w:rsidRPr="00000000">
        <w:rPr>
          <w:rtl w:val="0"/>
        </w:rPr>
      </w:r>
    </w:p>
    <w:p w:rsidR="00000000" w:rsidDel="00000000" w:rsidP="00000000" w:rsidRDefault="00000000" w:rsidRPr="00000000" w14:paraId="00000005">
      <w:pPr>
        <w:spacing w:after="240" w:before="240" w:line="240" w:lineRule="auto"/>
        <w:ind w:firstLine="720"/>
        <w:jc w:val="both"/>
        <w:rPr>
          <w:rFonts w:ascii="Roboto" w:cs="Roboto" w:eastAsia="Roboto" w:hAnsi="Roboto"/>
        </w:rPr>
      </w:pPr>
      <w:r w:rsidDel="00000000" w:rsidR="00000000" w:rsidRPr="00000000">
        <w:rPr>
          <w:rFonts w:ascii="Roboto" w:cs="Roboto" w:eastAsia="Roboto" w:hAnsi="Roboto"/>
          <w:i w:val="1"/>
          <w:iCs w:val="1"/>
          <w:rtl w:val="0"/>
        </w:rPr>
        <w:t xml:space="preserve">En Pamplona, 16 de octubre de 2026</w:t>
      </w:r>
      <w:r w:rsidDel="00000000" w:rsidR="00000000" w:rsidRPr="00000000">
        <w:rPr>
          <w:rFonts w:ascii="Roboto" w:cs="Roboto" w:eastAsia="Roboto" w:hAnsi="Roboto"/>
          <w:rtl w:val="0"/>
        </w:rPr>
        <w:t xml:space="preserve">.- El Museo Universidad de Navarra inaugura hoy la exposición </w:t>
      </w:r>
      <w:r w:rsidDel="00000000" w:rsidR="00000000" w:rsidRPr="00000000">
        <w:rPr>
          <w:rFonts w:ascii="Roboto" w:cs="Roboto" w:eastAsia="Roboto" w:hAnsi="Roboto"/>
          <w:b w:val="1"/>
          <w:bCs w:val="1"/>
          <w:i w:val="1"/>
          <w:iCs w:val="1"/>
          <w:rtl w:val="0"/>
        </w:rPr>
        <w:t xml:space="preserve">Habitus et Praxis: cuerpo, vestimenta y tradición</w:t>
      </w:r>
      <w:r w:rsidDel="00000000" w:rsidR="00000000" w:rsidRPr="00000000">
        <w:rPr>
          <w:rFonts w:ascii="Roboto" w:cs="Roboto" w:eastAsia="Roboto" w:hAnsi="Roboto"/>
          <w:rtl w:val="0"/>
        </w:rPr>
        <w:t xml:space="preserve">, un proyecto comisariado por Montaña González y Andrea Mirón egresadas del Máster en Estudios de Comisariado del MUN. La muestra propone una lectura contemporánea de la obra de José Ortiz Echagüe a partir de una selección de fotografías de su serie </w:t>
      </w:r>
      <w:r w:rsidDel="00000000" w:rsidR="00000000" w:rsidRPr="00000000">
        <w:rPr>
          <w:rFonts w:ascii="Roboto" w:cs="Roboto" w:eastAsia="Roboto" w:hAnsi="Roboto"/>
          <w:i w:val="1"/>
          <w:iCs w:val="1"/>
          <w:rtl w:val="0"/>
        </w:rPr>
        <w:t xml:space="preserve">España mística</w:t>
      </w:r>
      <w:r w:rsidDel="00000000" w:rsidR="00000000" w:rsidRPr="00000000">
        <w:rPr>
          <w:rFonts w:ascii="Roboto" w:cs="Roboto" w:eastAsia="Roboto" w:hAnsi="Roboto"/>
          <w:rtl w:val="0"/>
        </w:rPr>
        <w:t xml:space="preserve"> (1943), pertenecientes al legado del artista, cuyo fondo fue donado a la Universidad de Navarra en 1981. Desde una perspectiva sociológica, la exposición explora de qué modo la vestimenta actúa como una manifestación visible de creencias e identidades que se incorporan mediante la práctica cotidiana y el ritual colectivo. </w:t>
      </w:r>
    </w:p>
    <w:p w:rsidR="00000000" w:rsidDel="00000000" w:rsidP="00000000" w:rsidRDefault="00000000" w:rsidRPr="00000000" w14:paraId="00000006">
      <w:pPr>
        <w:spacing w:line="240" w:lineRule="auto"/>
        <w:ind w:firstLine="720"/>
        <w:jc w:val="both"/>
        <w:rPr>
          <w:rFonts w:ascii="Roboto" w:cs="Roboto" w:eastAsia="Roboto" w:hAnsi="Roboto"/>
        </w:rPr>
      </w:pPr>
      <w:r w:rsidDel="00000000" w:rsidR="00000000" w:rsidRPr="00000000">
        <w:rPr>
          <w:rFonts w:ascii="Roboto" w:cs="Roboto" w:eastAsia="Roboto" w:hAnsi="Roboto"/>
          <w:rtl w:val="0"/>
        </w:rPr>
        <w:t xml:space="preserve">Ubicada en la planta -1,  la muestra se expone en el espacio Ortiz Echagüe, inaugurado en 2025, con el apoyo de ATValor, empresa con vinculación familiar con el artista. </w:t>
      </w:r>
    </w:p>
    <w:p w:rsidR="00000000" w:rsidDel="00000000" w:rsidP="00000000" w:rsidRDefault="00000000" w:rsidRPr="00000000" w14:paraId="00000007">
      <w:pPr>
        <w:spacing w:line="240" w:lineRule="auto"/>
        <w:ind w:left="0" w:firstLine="0"/>
        <w:jc w:val="both"/>
        <w:rPr>
          <w:rFonts w:ascii="Roboto" w:cs="Roboto" w:eastAsia="Roboto" w:hAnsi="Roboto"/>
        </w:rPr>
      </w:pPr>
      <w:r w:rsidDel="00000000" w:rsidR="00000000" w:rsidRPr="00000000">
        <w:rPr>
          <w:rFonts w:ascii="Roboto" w:cs="Roboto" w:eastAsia="Roboto" w:hAnsi="Roboto"/>
          <w:rtl w:val="0"/>
        </w:rPr>
        <w:tab/>
        <w:t xml:space="preserve">El núcleo conceptual de la exposición parte de las distintas acepciones de la palabra </w:t>
      </w:r>
      <w:r w:rsidDel="00000000" w:rsidR="00000000" w:rsidRPr="00000000">
        <w:rPr>
          <w:rFonts w:ascii="Roboto" w:cs="Roboto" w:eastAsia="Roboto" w:hAnsi="Roboto"/>
          <w:i w:val="1"/>
          <w:iCs w:val="1"/>
          <w:rtl w:val="0"/>
        </w:rPr>
        <w:t xml:space="preserve">hábito</w:t>
      </w:r>
      <w:r w:rsidDel="00000000" w:rsidR="00000000" w:rsidRPr="00000000">
        <w:rPr>
          <w:rFonts w:ascii="Roboto" w:cs="Roboto" w:eastAsia="Roboto" w:hAnsi="Roboto"/>
          <w:rtl w:val="0"/>
        </w:rPr>
        <w:t xml:space="preserve">: desde la prenda física hasta la costumbre adquirida por la repetición. Esta doble dimensión dialoga con el concepto sociológico de </w:t>
      </w:r>
      <w:r w:rsidDel="00000000" w:rsidR="00000000" w:rsidRPr="00000000">
        <w:rPr>
          <w:rFonts w:ascii="Roboto" w:cs="Roboto" w:eastAsia="Roboto" w:hAnsi="Roboto"/>
          <w:i w:val="1"/>
          <w:iCs w:val="1"/>
          <w:rtl w:val="0"/>
        </w:rPr>
        <w:t xml:space="preserve">habitus</w:t>
      </w:r>
      <w:r w:rsidDel="00000000" w:rsidR="00000000" w:rsidRPr="00000000">
        <w:rPr>
          <w:rFonts w:ascii="Roboto" w:cs="Roboto" w:eastAsia="Roboto" w:hAnsi="Roboto"/>
          <w:rtl w:val="0"/>
        </w:rPr>
        <w:t xml:space="preserve">, formulado por Pierre Bourdieu, para analizar cómo las formas de pensar, actuar y relacionarnos son interiorizadas a través de la experiencia corporal y compartida. Así, las fotografías, invitan a observar cómo las creencias y las tradiciones se manifiestan en el cuerpo, los gestos y las prácticas compartidas.</w:t>
      </w:r>
    </w:p>
    <w:p w:rsidR="00000000" w:rsidDel="00000000" w:rsidP="00000000" w:rsidRDefault="00000000" w:rsidRPr="00000000" w14:paraId="00000008">
      <w:pPr>
        <w:spacing w:line="240" w:lineRule="auto"/>
        <w:ind w:left="0" w:firstLine="0"/>
        <w:jc w:val="both"/>
        <w:rPr>
          <w:rFonts w:ascii="Roboto" w:cs="Roboto" w:eastAsia="Roboto" w:hAnsi="Roboto"/>
          <w:b w:val="1"/>
          <w:bCs w:val="1"/>
        </w:rPr>
      </w:pPr>
      <w:r w:rsidDel="00000000" w:rsidR="00000000" w:rsidRPr="00000000">
        <w:rPr>
          <w:rFonts w:ascii="Roboto" w:cs="Roboto" w:eastAsia="Roboto" w:hAnsi="Roboto"/>
          <w:b w:val="1"/>
          <w:bCs w:val="1"/>
          <w:rtl w:val="0"/>
        </w:rPr>
        <w:t xml:space="preserve">TRES NÚCLEOS TEMÁTICOS</w:t>
      </w:r>
    </w:p>
    <w:p w:rsidR="00000000" w:rsidDel="00000000" w:rsidP="00000000" w:rsidRDefault="00000000" w:rsidRPr="00000000" w14:paraId="00000009">
      <w:pPr>
        <w:spacing w:line="240" w:lineRule="auto"/>
        <w:ind w:left="0" w:firstLine="0"/>
        <w:jc w:val="both"/>
        <w:rPr>
          <w:rFonts w:ascii="Roboto" w:cs="Roboto" w:eastAsia="Roboto" w:hAnsi="Roboto"/>
        </w:rPr>
      </w:pPr>
      <w:r w:rsidDel="00000000" w:rsidR="00000000" w:rsidRPr="00000000">
        <w:rPr>
          <w:rFonts w:ascii="Roboto" w:cs="Roboto" w:eastAsia="Roboto" w:hAnsi="Roboto"/>
          <w:rtl w:val="0"/>
        </w:rPr>
        <w:t xml:space="preserve">La muestra se organiza en tres núcleos que guían al visitante desde el proceso técnico hasta la experiencia en comunidad. El recorrido propone observar la relación entre representar, habitar y practicar. </w:t>
      </w:r>
    </w:p>
    <w:p w:rsidR="00000000" w:rsidDel="00000000" w:rsidP="00000000" w:rsidRDefault="00000000" w:rsidRPr="00000000" w14:paraId="0000000A">
      <w:pPr>
        <w:spacing w:line="240" w:lineRule="auto"/>
        <w:ind w:left="0" w:firstLine="0"/>
        <w:jc w:val="both"/>
        <w:rPr>
          <w:rFonts w:ascii="Roboto" w:cs="Roboto" w:eastAsia="Roboto" w:hAnsi="Roboto"/>
        </w:rPr>
      </w:pPr>
      <w:r w:rsidDel="00000000" w:rsidR="00000000" w:rsidRPr="00000000">
        <w:rPr>
          <w:rFonts w:ascii="Roboto" w:cs="Roboto" w:eastAsia="Roboto" w:hAnsi="Roboto"/>
          <w:rtl w:val="0"/>
        </w:rPr>
        <w:t xml:space="preserve">El primero, </w:t>
      </w:r>
      <w:r w:rsidDel="00000000" w:rsidR="00000000" w:rsidRPr="00000000">
        <w:rPr>
          <w:rFonts w:ascii="Roboto" w:cs="Roboto" w:eastAsia="Roboto" w:hAnsi="Roboto"/>
          <w:b w:val="1"/>
          <w:bCs w:val="1"/>
          <w:rtl w:val="0"/>
        </w:rPr>
        <w:t xml:space="preserve">Carbón directo sobre papel Fresson: construir la imagen</w:t>
      </w:r>
      <w:r w:rsidDel="00000000" w:rsidR="00000000" w:rsidRPr="00000000">
        <w:rPr>
          <w:rFonts w:ascii="Roboto" w:cs="Roboto" w:eastAsia="Roboto" w:hAnsi="Roboto"/>
          <w:rtl w:val="0"/>
        </w:rPr>
        <w:t xml:space="preserve">, invita a conocer el proceso técnico con el que Ortiz Echagüe dio forma a sus obras. El carbón directo sobre papel Fresson permite obtener una variedad de tonalidades y controlar luces, sombras, texturas y contrastes.</w:t>
      </w:r>
    </w:p>
    <w:p w:rsidR="00000000" w:rsidDel="00000000" w:rsidP="00000000" w:rsidRDefault="00000000" w:rsidRPr="00000000" w14:paraId="0000000B">
      <w:pPr>
        <w:spacing w:line="240" w:lineRule="auto"/>
        <w:ind w:left="0" w:firstLine="0"/>
        <w:jc w:val="both"/>
        <w:rPr>
          <w:rFonts w:ascii="Roboto" w:cs="Roboto" w:eastAsia="Roboto" w:hAnsi="Roboto"/>
        </w:rPr>
      </w:pPr>
      <w:r w:rsidDel="00000000" w:rsidR="00000000" w:rsidRPr="00000000">
        <w:rPr>
          <w:rFonts w:ascii="Roboto" w:cs="Roboto" w:eastAsia="Roboto" w:hAnsi="Roboto"/>
          <w:rtl w:val="0"/>
        </w:rPr>
        <w:t xml:space="preserve">El segundo, </w:t>
      </w:r>
      <w:r w:rsidDel="00000000" w:rsidR="00000000" w:rsidRPr="00000000">
        <w:rPr>
          <w:rFonts w:ascii="Roboto" w:cs="Roboto" w:eastAsia="Roboto" w:hAnsi="Roboto"/>
          <w:b w:val="1"/>
          <w:bCs w:val="1"/>
          <w:rtl w:val="0"/>
        </w:rPr>
        <w:t xml:space="preserve">Monacato: vestir una forma de vida,</w:t>
      </w:r>
      <w:r w:rsidDel="00000000" w:rsidR="00000000" w:rsidRPr="00000000">
        <w:rPr>
          <w:rFonts w:ascii="Roboto" w:cs="Roboto" w:eastAsia="Roboto" w:hAnsi="Roboto"/>
          <w:rtl w:val="0"/>
        </w:rPr>
        <w:t xml:space="preserve"> explora la intimidad de comunidades de cartujos, cistercienses y franciscanos. En estas imágenes el hábito religioso no es únicamente una prenda que identifica la pertenencia a una comunidad, sino también la expresión de una forma de vida. Organiza los ritmos, el silencio y las rutinas diarias de la vida comunitaria. </w:t>
        <w:br w:type="textWrapping"/>
        <w:br w:type="textWrapping"/>
      </w:r>
    </w:p>
    <w:p w:rsidR="00000000" w:rsidDel="00000000" w:rsidP="00000000" w:rsidRDefault="00000000" w:rsidRPr="00000000" w14:paraId="0000000C">
      <w:pPr>
        <w:spacing w:line="240" w:lineRule="auto"/>
        <w:ind w:left="0" w:firstLine="0"/>
        <w:jc w:val="both"/>
        <w:rPr>
          <w:rFonts w:ascii="Roboto" w:cs="Roboto" w:eastAsia="Roboto" w:hAnsi="Roboto"/>
        </w:rPr>
      </w:pPr>
      <w:r w:rsidDel="00000000" w:rsidR="00000000" w:rsidRPr="00000000">
        <w:rPr>
          <w:rFonts w:ascii="Roboto" w:cs="Roboto" w:eastAsia="Roboto" w:hAnsi="Roboto"/>
          <w:rtl w:val="0"/>
        </w:rPr>
        <w:t xml:space="preserve">El tercer núcleo, </w:t>
      </w:r>
      <w:r w:rsidDel="00000000" w:rsidR="00000000" w:rsidRPr="00000000">
        <w:rPr>
          <w:rFonts w:ascii="Roboto" w:cs="Roboto" w:eastAsia="Roboto" w:hAnsi="Roboto"/>
          <w:b w:val="1"/>
          <w:bCs w:val="1"/>
          <w:rtl w:val="0"/>
        </w:rPr>
        <w:t xml:space="preserve">Espiritualidad popular: cuando la práctica se vuelve colectiva</w:t>
      </w:r>
      <w:r w:rsidDel="00000000" w:rsidR="00000000" w:rsidRPr="00000000">
        <w:rPr>
          <w:rFonts w:ascii="Roboto" w:cs="Roboto" w:eastAsia="Roboto" w:hAnsi="Roboto"/>
          <w:rtl w:val="0"/>
        </w:rPr>
        <w:t xml:space="preserve">, desplaza la atención hacia las calles y los espacios públicos en los que tienen lugar procesiones, romerías y peregrinaciones. A diferencia del hábito monástico, la indumentaria en estos rituales se adopta de forma temporal dentro de un ritual y visibiliza cómo la tradición se transmite mediante la observación, la imitación y la vivencia compartida.</w:t>
      </w:r>
    </w:p>
    <w:p w:rsidR="00000000" w:rsidDel="00000000" w:rsidP="00000000" w:rsidRDefault="00000000" w:rsidRPr="00000000" w14:paraId="0000000D">
      <w:pPr>
        <w:pStyle w:val="Heading3"/>
        <w:keepNext w:val="0"/>
        <w:keepLines w:val="0"/>
        <w:spacing w:line="240" w:lineRule="auto"/>
        <w:jc w:val="both"/>
        <w:rPr>
          <w:rFonts w:ascii="Roboto" w:cs="Roboto" w:eastAsia="Roboto" w:hAnsi="Roboto"/>
          <w:sz w:val="22"/>
          <w:szCs w:val="22"/>
        </w:rPr>
      </w:pPr>
      <w:bookmarkStart w:colFirst="0" w:colLast="0" w:name="_heading=h.30eo6ggps5hw" w:id="2"/>
      <w:bookmarkEnd w:id="2"/>
      <w:r w:rsidDel="00000000" w:rsidR="00000000" w:rsidRPr="00000000">
        <w:rPr>
          <w:rFonts w:ascii="Roboto" w:cs="Roboto" w:eastAsia="Roboto" w:hAnsi="Roboto"/>
          <w:sz w:val="22"/>
          <w:szCs w:val="22"/>
          <w:rtl w:val="0"/>
        </w:rPr>
        <w:t xml:space="preserve">LEGADO JOSÉ ORTIZ ECHAGÜE</w:t>
      </w:r>
    </w:p>
    <w:p w:rsidR="00000000" w:rsidDel="00000000" w:rsidP="00000000" w:rsidRDefault="00000000" w:rsidRPr="00000000" w14:paraId="0000000E">
      <w:pPr>
        <w:spacing w:after="240" w:before="240" w:line="240" w:lineRule="auto"/>
        <w:ind w:firstLine="720"/>
        <w:jc w:val="both"/>
        <w:rPr>
          <w:rFonts w:ascii="Roboto" w:cs="Roboto" w:eastAsia="Roboto" w:hAnsi="Roboto"/>
        </w:rPr>
      </w:pPr>
      <w:r w:rsidDel="00000000" w:rsidR="00000000" w:rsidRPr="00000000">
        <w:rPr>
          <w:rFonts w:ascii="Roboto" w:cs="Roboto" w:eastAsia="Roboto" w:hAnsi="Roboto"/>
          <w:rtl w:val="0"/>
        </w:rPr>
        <w:t xml:space="preserve">La selección de fotografías de </w:t>
      </w:r>
      <w:r w:rsidDel="00000000" w:rsidR="00000000" w:rsidRPr="00000000">
        <w:rPr>
          <w:rFonts w:ascii="Roboto" w:cs="Roboto" w:eastAsia="Roboto" w:hAnsi="Roboto"/>
          <w:i w:val="1"/>
          <w:iCs w:val="1"/>
          <w:rtl w:val="0"/>
        </w:rPr>
        <w:t xml:space="preserve">España mística</w:t>
      </w:r>
      <w:r w:rsidDel="00000000" w:rsidR="00000000" w:rsidRPr="00000000">
        <w:rPr>
          <w:rFonts w:ascii="Roboto" w:cs="Roboto" w:eastAsia="Roboto" w:hAnsi="Roboto"/>
          <w:rtl w:val="0"/>
        </w:rPr>
        <w:t xml:space="preserve"> responde al interés de las comisarias por explorar la relación entre hábito, praxis y </w:t>
      </w:r>
      <w:r w:rsidDel="00000000" w:rsidR="00000000" w:rsidRPr="00000000">
        <w:rPr>
          <w:rFonts w:ascii="Roboto" w:cs="Roboto" w:eastAsia="Roboto" w:hAnsi="Roboto"/>
          <w:i w:val="1"/>
          <w:iCs w:val="1"/>
          <w:rtl w:val="0"/>
        </w:rPr>
        <w:t xml:space="preserve">habitus</w:t>
      </w:r>
      <w:r w:rsidDel="00000000" w:rsidR="00000000" w:rsidRPr="00000000">
        <w:rPr>
          <w:rFonts w:ascii="Roboto" w:cs="Roboto" w:eastAsia="Roboto" w:hAnsi="Roboto"/>
          <w:rtl w:val="0"/>
        </w:rPr>
        <w:t xml:space="preserve">. Montaña González explica que la elección de esta serie responde a una razón conceptual, «articular una reflexión sobre la vestimenta no como un elemento estético aislado, sino como una forma activa y concreta de habitar el mundo». Las comisarias destacan que la mirada se desplaza del retrato hacia las acciones y las prácticas cotidianas que dan sentido a la experiencia. </w:t>
      </w:r>
    </w:p>
    <w:p w:rsidR="00000000" w:rsidDel="00000000" w:rsidP="00000000" w:rsidRDefault="00000000" w:rsidRPr="00000000" w14:paraId="0000000F">
      <w:pPr>
        <w:spacing w:after="240" w:before="240" w:line="240" w:lineRule="auto"/>
        <w:ind w:firstLine="720"/>
        <w:jc w:val="both"/>
        <w:rPr>
          <w:rFonts w:ascii="Roboto" w:cs="Roboto" w:eastAsia="Roboto" w:hAnsi="Roboto"/>
        </w:rPr>
      </w:pPr>
      <w:r w:rsidDel="00000000" w:rsidR="00000000" w:rsidRPr="00000000">
        <w:rPr>
          <w:rFonts w:ascii="Roboto" w:cs="Roboto" w:eastAsia="Roboto" w:hAnsi="Roboto"/>
          <w:rtl w:val="0"/>
        </w:rPr>
        <w:t xml:space="preserve">La presencia de escenas de la vida monástica junto a imágenes de romerías y procesiones permite, además, explorar cómo las tradiciones se transmiten tanto mediante la repetición cotidiana como a través de la participación en rituales colectivos. Para las comisarias, las fotografías de Ortiz Echagüe hacen visible este proceso de transmisión entre generaciones, en el que la observación, la imitación y la experiencia corporal desempeñan un papel fundamental.</w:t>
      </w:r>
    </w:p>
    <w:p w:rsidR="00000000" w:rsidDel="00000000" w:rsidP="00000000" w:rsidRDefault="00000000" w:rsidRPr="00000000" w14:paraId="00000010">
      <w:pPr>
        <w:pStyle w:val="Heading3"/>
        <w:keepNext w:val="0"/>
        <w:keepLines w:val="0"/>
        <w:spacing w:line="240" w:lineRule="auto"/>
        <w:jc w:val="both"/>
        <w:rPr>
          <w:rFonts w:ascii="Roboto" w:cs="Roboto" w:eastAsia="Roboto" w:hAnsi="Roboto"/>
          <w:sz w:val="22"/>
          <w:szCs w:val="22"/>
        </w:rPr>
      </w:pPr>
      <w:bookmarkStart w:colFirst="0" w:colLast="0" w:name="_heading=h.1nldnzi7bf9v" w:id="3"/>
      <w:bookmarkEnd w:id="3"/>
      <w:r w:rsidDel="00000000" w:rsidR="00000000" w:rsidRPr="00000000">
        <w:rPr>
          <w:rFonts w:ascii="Roboto" w:cs="Roboto" w:eastAsia="Roboto" w:hAnsi="Roboto"/>
          <w:sz w:val="22"/>
          <w:szCs w:val="22"/>
          <w:rtl w:val="0"/>
        </w:rPr>
        <w:t xml:space="preserve">MÁSTER EN ESTUDIOS DE COMISARIADO</w:t>
      </w:r>
    </w:p>
    <w:p w:rsidR="00000000" w:rsidDel="00000000" w:rsidP="00000000" w:rsidRDefault="00000000" w:rsidRPr="00000000" w14:paraId="00000011">
      <w:pPr>
        <w:spacing w:after="240" w:before="240" w:line="240" w:lineRule="auto"/>
        <w:ind w:firstLine="720"/>
        <w:jc w:val="both"/>
        <w:rPr>
          <w:rFonts w:ascii="Roboto" w:cs="Roboto" w:eastAsia="Roboto" w:hAnsi="Roboto"/>
        </w:rPr>
      </w:pPr>
      <w:r w:rsidDel="00000000" w:rsidR="00000000" w:rsidRPr="00000000">
        <w:rPr>
          <w:rFonts w:ascii="Roboto" w:cs="Roboto" w:eastAsia="Roboto" w:hAnsi="Roboto"/>
          <w:rtl w:val="0"/>
        </w:rPr>
        <w:t xml:space="preserve">La exposición es el resultado del proceso de investigación y desarrollo curatorial realizado por Montaña González y Andrea Mirón en el Máster en Estudios de Comisariado del MUN. La formación les ha permitido profundizar en el conocimiento de las distintas disciplinas que intervienen en la conceptualización de un proyecto curatorial.</w:t>
      </w:r>
    </w:p>
    <w:p w:rsidR="00000000" w:rsidDel="00000000" w:rsidP="00000000" w:rsidRDefault="00000000" w:rsidRPr="00000000" w14:paraId="00000012">
      <w:pPr>
        <w:spacing w:after="240" w:before="240" w:line="240" w:lineRule="auto"/>
        <w:jc w:val="both"/>
        <w:rPr>
          <w:rFonts w:ascii="Roboto" w:cs="Roboto" w:eastAsia="Roboto" w:hAnsi="Roboto"/>
        </w:rPr>
      </w:pPr>
      <w:r w:rsidDel="00000000" w:rsidR="00000000" w:rsidRPr="00000000">
        <w:rPr>
          <w:rFonts w:ascii="Roboto" w:cs="Roboto" w:eastAsia="Roboto" w:hAnsi="Roboto"/>
          <w:rtl w:val="0"/>
        </w:rPr>
        <w:t xml:space="preserve">Andrea Mirón destaca especialmente la oportunidad de desarrollar la investigación junto a profesionales de diferentes ámbitos. Y Montaña añade que este proceso les ha permitido comprender mejor el potencial de la fotografía histórica como herramienta para reflexionar sobre cuestiones actuales, más allá de su valor histórico. </w:t>
      </w:r>
      <w:r w:rsidDel="00000000" w:rsidR="00000000" w:rsidRPr="00000000">
        <w:rPr>
          <w:rtl w:val="0"/>
        </w:rPr>
      </w:r>
    </w:p>
    <w:tbl>
      <w:tblPr>
        <w:tblStyle w:val="Table1"/>
        <w:tblW w:w="9634.0" w:type="dxa"/>
        <w:jc w:val="left"/>
        <w:tblLayout w:type="fixed"/>
        <w:tblLook w:val="0400"/>
      </w:tblPr>
      <w:tblGrid>
        <w:gridCol w:w="9634"/>
        <w:tblGridChange w:id="0">
          <w:tblGrid>
            <w:gridCol w:w="963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e2f3" w:val="clear"/>
            <w:tcMar>
              <w:top w:w="0.0" w:type="dxa"/>
              <w:left w:w="108.0" w:type="dxa"/>
              <w:bottom w:w="0.0" w:type="dxa"/>
              <w:right w:w="108.0" w:type="dxa"/>
            </w:tcMar>
          </w:tcPr>
          <w:p w:rsidR="00000000" w:rsidDel="00000000" w:rsidP="00000000" w:rsidRDefault="00000000" w:rsidRPr="00000000" w14:paraId="00000013">
            <w:pPr>
              <w:spacing w:after="0" w:line="240" w:lineRule="auto"/>
              <w:jc w:val="both"/>
              <w:rPr>
                <w:rFonts w:ascii="Roboto" w:cs="Roboto" w:eastAsia="Roboto" w:hAnsi="Roboto"/>
                <w:b w:val="1"/>
                <w:bCs w:val="1"/>
                <w:sz w:val="24"/>
                <w:szCs w:val="24"/>
                <w:u w:val="single"/>
              </w:rPr>
            </w:pPr>
            <w:r w:rsidDel="00000000" w:rsidR="00000000" w:rsidRPr="00000000">
              <w:rPr>
                <w:rFonts w:ascii="Roboto" w:cs="Roboto" w:eastAsia="Roboto" w:hAnsi="Roboto"/>
                <w:b w:val="1"/>
                <w:bCs w:val="1"/>
                <w:sz w:val="24"/>
                <w:szCs w:val="24"/>
                <w:u w:val="single"/>
                <w:rtl w:val="0"/>
              </w:rPr>
              <w:t xml:space="preserve">HABITUS ET PRAXIS: CUERPO, VESTIMENTA Y TRADICIÓN </w:t>
            </w:r>
          </w:p>
          <w:p w:rsidR="00000000" w:rsidDel="00000000" w:rsidP="00000000" w:rsidRDefault="00000000" w:rsidRPr="00000000" w14:paraId="00000014">
            <w:pPr>
              <w:spacing w:after="0" w:line="240" w:lineRule="auto"/>
              <w:jc w:val="both"/>
              <w:rPr>
                <w:rFonts w:ascii="Roboto" w:cs="Roboto" w:eastAsia="Roboto" w:hAnsi="Roboto"/>
                <w:b w:val="1"/>
                <w:bCs w:val="1"/>
                <w:sz w:val="24"/>
                <w:szCs w:val="24"/>
              </w:rPr>
            </w:pPr>
            <w:r w:rsidDel="00000000" w:rsidR="00000000" w:rsidRPr="00000000">
              <w:rPr>
                <w:rtl w:val="0"/>
              </w:rPr>
            </w:r>
          </w:p>
          <w:p w:rsidR="00000000" w:rsidDel="00000000" w:rsidP="00000000" w:rsidRDefault="00000000" w:rsidRPr="00000000" w14:paraId="00000015">
            <w:pPr>
              <w:rPr>
                <w:rFonts w:ascii="Roboto" w:cs="Roboto" w:eastAsia="Roboto" w:hAnsi="Roboto"/>
                <w:sz w:val="24"/>
                <w:szCs w:val="24"/>
                <w:shd w:fill="cfe2f3" w:val="clear"/>
                <w:vertAlign w:val="superscript"/>
              </w:rPr>
            </w:pPr>
            <w:r w:rsidDel="00000000" w:rsidR="00000000" w:rsidRPr="00000000">
              <w:rPr>
                <w:rFonts w:ascii="Roboto" w:cs="Roboto" w:eastAsia="Roboto" w:hAnsi="Roboto"/>
                <w:b w:val="1"/>
                <w:bCs w:val="1"/>
                <w:sz w:val="24"/>
                <w:szCs w:val="24"/>
                <w:rtl w:val="0"/>
              </w:rPr>
              <w:t xml:space="preserve">Autores</w:t>
            </w:r>
            <w:r w:rsidDel="00000000" w:rsidR="00000000" w:rsidRPr="00000000">
              <w:rPr>
                <w:rFonts w:ascii="Roboto" w:cs="Roboto" w:eastAsia="Roboto" w:hAnsi="Roboto"/>
                <w:sz w:val="24"/>
                <w:szCs w:val="24"/>
                <w:rtl w:val="0"/>
              </w:rPr>
              <w:t xml:space="preserve">: José Ortiz Echagüe</w:t>
            </w:r>
            <w:r w:rsidDel="00000000" w:rsidR="00000000" w:rsidRPr="00000000">
              <w:rPr>
                <w:rFonts w:ascii="Roboto" w:cs="Roboto" w:eastAsia="Roboto" w:hAnsi="Roboto"/>
                <w:sz w:val="24"/>
                <w:szCs w:val="24"/>
                <w:shd w:fill="cfe2f3" w:val="clear"/>
                <w:vertAlign w:val="superscript"/>
                <w:rtl w:val="0"/>
              </w:rPr>
              <w:br w:type="textWrapping"/>
            </w:r>
            <w:r w:rsidDel="00000000" w:rsidR="00000000" w:rsidRPr="00000000">
              <w:rPr>
                <w:rFonts w:ascii="Roboto" w:cs="Roboto" w:eastAsia="Roboto" w:hAnsi="Roboto"/>
                <w:b w:val="1"/>
                <w:bCs w:val="1"/>
                <w:sz w:val="24"/>
                <w:szCs w:val="24"/>
                <w:rtl w:val="0"/>
              </w:rPr>
              <w:t xml:space="preserve">Comisarias</w:t>
            </w:r>
            <w:r w:rsidDel="00000000" w:rsidR="00000000" w:rsidRPr="00000000">
              <w:rPr>
                <w:rFonts w:ascii="Roboto" w:cs="Roboto" w:eastAsia="Roboto" w:hAnsi="Roboto"/>
                <w:sz w:val="24"/>
                <w:szCs w:val="24"/>
                <w:rtl w:val="0"/>
              </w:rPr>
              <w:t xml:space="preserve">: Montaña González y Andrea Mirón</w:t>
            </w:r>
            <w:r w:rsidDel="00000000" w:rsidR="00000000" w:rsidRPr="00000000">
              <w:rPr>
                <w:rFonts w:ascii="Roboto" w:cs="Roboto" w:eastAsia="Roboto" w:hAnsi="Roboto"/>
                <w:sz w:val="24"/>
                <w:szCs w:val="24"/>
                <w:shd w:fill="cfe2f3" w:val="clear"/>
                <w:vertAlign w:val="superscript"/>
                <w:rtl w:val="0"/>
              </w:rPr>
              <w:br w:type="textWrapping"/>
            </w:r>
            <w:r w:rsidDel="00000000" w:rsidR="00000000" w:rsidRPr="00000000">
              <w:rPr>
                <w:rFonts w:ascii="Roboto" w:cs="Roboto" w:eastAsia="Roboto" w:hAnsi="Roboto"/>
                <w:b w:val="1"/>
                <w:bCs w:val="1"/>
                <w:sz w:val="24"/>
                <w:szCs w:val="24"/>
                <w:rtl w:val="0"/>
              </w:rPr>
              <w:t xml:space="preserve">Producida por</w:t>
            </w:r>
            <w:r w:rsidDel="00000000" w:rsidR="00000000" w:rsidRPr="00000000">
              <w:rPr>
                <w:rFonts w:ascii="Roboto" w:cs="Roboto" w:eastAsia="Roboto" w:hAnsi="Roboto"/>
                <w:sz w:val="24"/>
                <w:szCs w:val="24"/>
                <w:rtl w:val="0"/>
              </w:rPr>
              <w:t xml:space="preserve">: Museo Universidad de Navarra</w:t>
            </w:r>
            <w:r w:rsidDel="00000000" w:rsidR="00000000" w:rsidRPr="00000000">
              <w:rPr>
                <w:rFonts w:ascii="Roboto" w:cs="Roboto" w:eastAsia="Roboto" w:hAnsi="Roboto"/>
                <w:sz w:val="24"/>
                <w:szCs w:val="24"/>
                <w:shd w:fill="cfe2f3" w:val="clear"/>
                <w:vertAlign w:val="superscript"/>
                <w:rtl w:val="0"/>
              </w:rPr>
              <w:br w:type="textWrapping"/>
            </w:r>
            <w:r w:rsidDel="00000000" w:rsidR="00000000" w:rsidRPr="00000000">
              <w:rPr>
                <w:rFonts w:ascii="Roboto" w:cs="Roboto" w:eastAsia="Roboto" w:hAnsi="Roboto"/>
                <w:b w:val="1"/>
                <w:bCs w:val="1"/>
                <w:sz w:val="24"/>
                <w:szCs w:val="24"/>
                <w:rtl w:val="0"/>
              </w:rPr>
              <w:t xml:space="preserve">Fechas</w:t>
            </w:r>
            <w:r w:rsidDel="00000000" w:rsidR="00000000" w:rsidRPr="00000000">
              <w:rPr>
                <w:rFonts w:ascii="Roboto" w:cs="Roboto" w:eastAsia="Roboto" w:hAnsi="Roboto"/>
                <w:sz w:val="24"/>
                <w:szCs w:val="24"/>
                <w:rtl w:val="0"/>
              </w:rPr>
              <w:t xml:space="preserve">: 16 de octubre 2026 – 18 de abril 2027</w:t>
            </w:r>
            <w:r w:rsidDel="00000000" w:rsidR="00000000" w:rsidRPr="00000000">
              <w:rPr>
                <w:rFonts w:ascii="Roboto" w:cs="Roboto" w:eastAsia="Roboto" w:hAnsi="Roboto"/>
                <w:sz w:val="24"/>
                <w:szCs w:val="24"/>
                <w:shd w:fill="cfe2f3" w:val="clear"/>
                <w:vertAlign w:val="superscript"/>
                <w:rtl w:val="0"/>
              </w:rPr>
              <w:br w:type="textWrapping"/>
            </w:r>
            <w:r w:rsidDel="00000000" w:rsidR="00000000" w:rsidRPr="00000000">
              <w:rPr>
                <w:rFonts w:ascii="Roboto" w:cs="Roboto" w:eastAsia="Roboto" w:hAnsi="Roboto"/>
                <w:b w:val="1"/>
                <w:bCs w:val="1"/>
                <w:sz w:val="24"/>
                <w:szCs w:val="24"/>
                <w:rtl w:val="0"/>
              </w:rPr>
              <w:t xml:space="preserve">Lugar</w:t>
            </w:r>
            <w:r w:rsidDel="00000000" w:rsidR="00000000" w:rsidRPr="00000000">
              <w:rPr>
                <w:rFonts w:ascii="Roboto" w:cs="Roboto" w:eastAsia="Roboto" w:hAnsi="Roboto"/>
                <w:sz w:val="24"/>
                <w:szCs w:val="24"/>
                <w:rtl w:val="0"/>
              </w:rPr>
              <w:t xml:space="preserve">: Espacio Ortiz Echagüe planta -1</w:t>
            </w:r>
            <w:r w:rsidDel="00000000" w:rsidR="00000000" w:rsidRPr="00000000">
              <w:rPr>
                <w:rtl w:val="0"/>
              </w:rPr>
            </w:r>
          </w:p>
        </w:tc>
      </w:tr>
    </w:tbl>
    <w:p w:rsidR="00000000" w:rsidDel="00000000" w:rsidP="00000000" w:rsidRDefault="00000000" w:rsidRPr="00000000" w14:paraId="00000016">
      <w:pPr>
        <w:spacing w:after="0" w:line="240" w:lineRule="auto"/>
        <w:rPr>
          <w:rFonts w:ascii="Roboto" w:cs="Roboto" w:eastAsia="Roboto" w:hAnsi="Roboto"/>
          <w:sz w:val="24"/>
          <w:szCs w:val="24"/>
        </w:rPr>
      </w:pPr>
      <w:r w:rsidDel="00000000" w:rsidR="00000000" w:rsidRPr="00000000">
        <w:rPr>
          <w:rtl w:val="0"/>
        </w:rPr>
      </w:r>
    </w:p>
    <w:tbl>
      <w:tblPr>
        <w:tblStyle w:val="Table2"/>
        <w:tblW w:w="9638.0" w:type="dxa"/>
        <w:jc w:val="left"/>
        <w:tblLayout w:type="fixed"/>
        <w:tblLook w:val="0400"/>
      </w:tblPr>
      <w:tblGrid>
        <w:gridCol w:w="9638"/>
        <w:tblGridChange w:id="0">
          <w:tblGrid>
            <w:gridCol w:w="9638"/>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2dcdb" w:val="clear"/>
            <w:tcMar>
              <w:top w:w="100.0" w:type="dxa"/>
              <w:left w:w="100.0" w:type="dxa"/>
              <w:bottom w:w="100.0" w:type="dxa"/>
              <w:right w:w="100.0" w:type="dxa"/>
            </w:tcMar>
          </w:tcPr>
          <w:p w:rsidR="00000000" w:rsidDel="00000000" w:rsidP="00000000" w:rsidRDefault="00000000" w:rsidRPr="00000000" w14:paraId="00000017">
            <w:pPr>
              <w:spacing w:after="0" w:line="240" w:lineRule="auto"/>
              <w:rPr>
                <w:rFonts w:ascii="Roboto" w:cs="Roboto" w:eastAsia="Roboto" w:hAnsi="Roboto"/>
                <w:color w:val="434343"/>
              </w:rPr>
            </w:pPr>
            <w:r w:rsidDel="00000000" w:rsidR="00000000" w:rsidRPr="00000000">
              <w:rPr>
                <w:rFonts w:ascii="Roboto" w:cs="Roboto" w:eastAsia="Roboto" w:hAnsi="Roboto"/>
                <w:color w:val="434343"/>
                <w:rtl w:val="0"/>
              </w:rPr>
              <w:t xml:space="preserve">Press site: https://museo.unav.edu/prensa/habitus-et-praxis</w:t>
            </w:r>
          </w:p>
        </w:tc>
      </w:tr>
    </w:tbl>
    <w:p w:rsidR="00000000" w:rsidDel="00000000" w:rsidP="00000000" w:rsidRDefault="00000000" w:rsidRPr="00000000" w14:paraId="00000018">
      <w:pPr>
        <w:jc w:val="both"/>
        <w:rPr>
          <w:rFonts w:ascii="Roboto" w:cs="Roboto" w:eastAsia="Roboto" w:hAnsi="Roboto"/>
        </w:rPr>
      </w:pPr>
      <w:r w:rsidDel="00000000" w:rsidR="00000000" w:rsidRPr="00000000">
        <w:rPr>
          <w:rtl w:val="0"/>
        </w:rPr>
      </w:r>
    </w:p>
    <w:p w:rsidR="00000000" w:rsidDel="00000000" w:rsidP="00000000" w:rsidRDefault="00000000" w:rsidRPr="00000000" w14:paraId="00000019">
      <w:pPr>
        <w:jc w:val="both"/>
        <w:rPr>
          <w:rFonts w:ascii="Roboto" w:cs="Roboto" w:eastAsia="Roboto" w:hAnsi="Roboto"/>
        </w:rPr>
      </w:pPr>
      <w:r w:rsidDel="00000000" w:rsidR="00000000" w:rsidRPr="00000000">
        <w:rPr>
          <w:rtl w:val="0"/>
        </w:rPr>
      </w:r>
    </w:p>
    <w:p w:rsidR="00000000" w:rsidDel="00000000" w:rsidP="00000000" w:rsidRDefault="00000000" w:rsidRPr="00000000" w14:paraId="0000001A">
      <w:pPr>
        <w:jc w:val="both"/>
        <w:rPr>
          <w:rFonts w:ascii="Roboto" w:cs="Roboto" w:eastAsia="Roboto" w:hAnsi="Roboto"/>
        </w:rPr>
      </w:pPr>
      <w:r w:rsidDel="00000000" w:rsidR="00000000" w:rsidRPr="00000000">
        <w:rPr>
          <w:rtl w:val="0"/>
        </w:rPr>
      </w:r>
    </w:p>
    <w:p w:rsidR="00000000" w:rsidDel="00000000" w:rsidP="00000000" w:rsidRDefault="00000000" w:rsidRPr="00000000" w14:paraId="0000001B">
      <w:pPr>
        <w:tabs>
          <w:tab w:val="left" w:leader="none" w:pos="7370"/>
        </w:tabs>
        <w:rPr>
          <w:rFonts w:ascii="Roboto" w:cs="Roboto" w:eastAsia="Roboto" w:hAnsi="Roboto"/>
          <w:sz w:val="20"/>
          <w:szCs w:val="20"/>
        </w:rPr>
      </w:pPr>
      <w:r w:rsidDel="00000000" w:rsidR="00000000" w:rsidRPr="00000000">
        <w:rPr>
          <w:rtl w:val="0"/>
        </w:rPr>
      </w:r>
    </w:p>
    <w:sectPr>
      <w:headerReference r:id="rId7" w:type="default"/>
      <w:footerReference r:id="rId8" w:type="default"/>
      <w:pgSz w:h="16838" w:w="11906" w:orient="portrait"/>
      <w:pgMar w:bottom="851" w:top="1134" w:left="1134" w:right="1134" w:header="566" w:footer="56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jc w:val="center"/>
      <w:rPr/>
    </w:pPr>
    <w:r w:rsidDel="00000000" w:rsidR="00000000" w:rsidRPr="00000000">
      <w:rPr>
        <w:rFonts w:ascii="Roboto" w:cs="Roboto" w:eastAsia="Roboto" w:hAnsi="Roboto"/>
        <w:b w:val="1"/>
        <w:bCs w:val="1"/>
        <w:sz w:val="20"/>
        <w:szCs w:val="20"/>
        <w:rtl w:val="0"/>
      </w:rPr>
      <w:t xml:space="preserve">CONTACTO PRENSA MUN:</w:t>
    </w:r>
    <w:r w:rsidDel="00000000" w:rsidR="00000000" w:rsidRPr="00000000">
      <w:rPr>
        <w:rFonts w:ascii="Roboto" w:cs="Roboto" w:eastAsia="Roboto" w:hAnsi="Roboto"/>
        <w:sz w:val="20"/>
        <w:szCs w:val="20"/>
        <w:rtl w:val="0"/>
      </w:rPr>
      <w:t xml:space="preserve">  Lucía Silvestre: </w:t>
    </w:r>
    <w:hyperlink r:id="rId1">
      <w:r w:rsidDel="00000000" w:rsidR="00000000" w:rsidRPr="00000000">
        <w:rPr>
          <w:rFonts w:ascii="Roboto" w:cs="Roboto" w:eastAsia="Roboto" w:hAnsi="Roboto"/>
          <w:sz w:val="20"/>
          <w:szCs w:val="20"/>
          <w:u w:val="single"/>
          <w:rtl w:val="0"/>
        </w:rPr>
        <w:t xml:space="preserve">lsilvestreg@unav.es</w:t>
      </w:r>
    </w:hyperlink>
    <w:r w:rsidDel="00000000" w:rsidR="00000000" w:rsidRPr="00000000">
      <w:rPr>
        <w:rFonts w:ascii="Roboto" w:cs="Roboto" w:eastAsia="Roboto" w:hAnsi="Roboto"/>
        <w:sz w:val="20"/>
        <w:szCs w:val="20"/>
        <w:rtl w:val="0"/>
      </w:rPr>
      <w:t xml:space="preserve"> / 948 425600 - Ext. 803409                           Elisa Montserrat: </w:t>
    </w:r>
    <w:hyperlink r:id="rId2">
      <w:r w:rsidDel="00000000" w:rsidR="00000000" w:rsidRPr="00000000">
        <w:rPr>
          <w:rFonts w:ascii="Roboto" w:cs="Roboto" w:eastAsia="Roboto" w:hAnsi="Roboto"/>
          <w:color w:val="000000"/>
          <w:sz w:val="20"/>
          <w:szCs w:val="20"/>
          <w:u w:val="single"/>
          <w:rtl w:val="0"/>
        </w:rPr>
        <w:t xml:space="preserve">emontse@unav.es</w:t>
      </w:r>
    </w:hyperlink>
    <w:r w:rsidDel="00000000" w:rsidR="00000000" w:rsidRPr="00000000">
      <w:rPr>
        <w:rFonts w:ascii="Roboto" w:cs="Roboto" w:eastAsia="Roboto" w:hAnsi="Roboto"/>
        <w:color w:val="000000"/>
        <w:sz w:val="20"/>
        <w:szCs w:val="20"/>
        <w:rtl w:val="0"/>
      </w:rPr>
      <w:t xml:space="preserve"> </w:t>
    </w:r>
    <w:r w:rsidDel="00000000" w:rsidR="00000000" w:rsidRPr="00000000">
      <w:rPr>
        <w:rFonts w:ascii="Roboto" w:cs="Roboto" w:eastAsia="Roboto" w:hAnsi="Roboto"/>
        <w:sz w:val="20"/>
        <w:szCs w:val="20"/>
        <w:rtl w:val="0"/>
      </w:rPr>
      <w:t xml:space="preserve">/ 637532826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ind w:right="-574"/>
      <w:jc w:val="right"/>
      <w:rPr/>
    </w:pPr>
    <w:r w:rsidDel="00000000" w:rsidR="00000000" w:rsidRPr="00000000">
      <w:rPr>
        <w:rFonts w:ascii="Roboto" w:cs="Roboto" w:eastAsia="Roboto" w:hAnsi="Roboto"/>
        <w:b w:val="1"/>
        <w:bCs w:val="1"/>
        <w:sz w:val="28"/>
        <w:szCs w:val="28"/>
      </w:rPr>
      <w:drawing>
        <wp:inline distB="114300" distT="114300" distL="114300" distR="114300">
          <wp:extent cx="2491748" cy="408204"/>
          <wp:effectExtent b="0" l="0" r="0" t="0"/>
          <wp:docPr id="5" name="image1.png"/>
          <a:graphic>
            <a:graphicData uri="http://schemas.openxmlformats.org/drawingml/2006/picture">
              <pic:pic>
                <pic:nvPicPr>
                  <pic:cNvPr id="0" name="image1.png"/>
                  <pic:cNvPicPr preferRelativeResize="0"/>
                </pic:nvPicPr>
                <pic:blipFill>
                  <a:blip r:embed="rId1"/>
                  <a:srcRect b="10787" l="0" r="0" t="22507"/>
                  <a:stretch>
                    <a:fillRect/>
                  </a:stretch>
                </pic:blipFill>
                <pic:spPr>
                  <a:xfrm>
                    <a:off x="0" y="0"/>
                    <a:ext cx="2491748" cy="408204"/>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character" w:styleId="Hipervnculo">
    <w:name w:val="Hyperlink"/>
    <w:basedOn w:val="Fuentedeprrafopredeter"/>
    <w:uiPriority w:val="99"/>
    <w:unhideWhenUsed w:val="1"/>
    <w:rsid w:val="005210F9"/>
    <w:rPr>
      <w:color w:val="0000ff" w:themeColor="hyperlink"/>
      <w:u w:val="single"/>
    </w:rPr>
  </w:style>
  <w:style w:type="character" w:styleId="Mencinsinresolver">
    <w:name w:val="Unresolved Mention"/>
    <w:basedOn w:val="Fuentedeprrafopredeter"/>
    <w:uiPriority w:val="99"/>
    <w:semiHidden w:val="1"/>
    <w:unhideWhenUsed w:val="1"/>
    <w:rsid w:val="005210F9"/>
    <w:rPr>
      <w:color w:val="605e5c"/>
      <w:shd w:color="auto" w:fill="e1dfdd" w:val="clear"/>
    </w:rPr>
  </w:style>
  <w:style w:type="paragraph" w:styleId="NormalWeb">
    <w:name w:val="Normal (Web)"/>
    <w:basedOn w:val="Normal"/>
    <w:uiPriority w:val="99"/>
    <w:semiHidden w:val="1"/>
    <w:unhideWhenUsed w:val="1"/>
    <w:rsid w:val="00235EC9"/>
    <w:pPr>
      <w:spacing w:after="100" w:afterAutospacing="1" w:before="100" w:beforeAutospacing="1" w:line="240" w:lineRule="auto"/>
    </w:pPr>
    <w:rPr>
      <w:rFonts w:ascii="Times New Roman" w:cs="Times New Roman" w:eastAsia="Times New Roman" w:hAnsi="Times New Roman"/>
      <w:sz w:val="24"/>
      <w:szCs w:val="24"/>
      <w:lang w:val="es-ES_tradnl"/>
    </w:rPr>
  </w:style>
  <w:style w:type="character" w:styleId="Textoennegrita">
    <w:name w:val="Strong"/>
    <w:basedOn w:val="Fuentedeprrafopredeter"/>
    <w:uiPriority w:val="22"/>
    <w:qFormat w:val="1"/>
    <w:rsid w:val="00235EC9"/>
    <w:rPr>
      <w:b w:val="1"/>
      <w:bCs w:val="1"/>
    </w:rPr>
  </w:style>
  <w:style w:type="paragraph" w:styleId="Encabezado">
    <w:name w:val="header"/>
    <w:basedOn w:val="Normal"/>
    <w:link w:val="EncabezadoCar"/>
    <w:uiPriority w:val="99"/>
    <w:unhideWhenUsed w:val="1"/>
    <w:rsid w:val="00591D2E"/>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591D2E"/>
  </w:style>
  <w:style w:type="paragraph" w:styleId="Piedepgina">
    <w:name w:val="footer"/>
    <w:basedOn w:val="Normal"/>
    <w:link w:val="PiedepginaCar"/>
    <w:uiPriority w:val="99"/>
    <w:unhideWhenUsed w:val="1"/>
    <w:rsid w:val="00591D2E"/>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591D2E"/>
  </w:style>
  <w:style w:type="character" w:styleId="nfasis">
    <w:name w:val="Emphasis"/>
    <w:basedOn w:val="Fuentedeprrafopredeter"/>
    <w:uiPriority w:val="20"/>
    <w:qFormat w:val="1"/>
    <w:rsid w:val="00636229"/>
    <w:rPr>
      <w:i w:val="1"/>
      <w:iCs w:val="1"/>
    </w:rPr>
  </w:style>
  <w:style w:type="table" w:styleId="a" w:customStyle="1">
    <w:basedOn w:val="TableNormal1"/>
    <w:tblPr>
      <w:tblStyleRowBandSize w:val="1"/>
      <w:tblStyleColBandSize w:val="1"/>
      <w:tblCellMar>
        <w:top w:w="0.0" w:type="dxa"/>
        <w:left w:w="115.0" w:type="dxa"/>
        <w:bottom w:w="0.0" w:type="dxa"/>
        <w:right w:w="115.0" w:type="dxa"/>
      </w:tblCellMar>
    </w:tblPr>
  </w:style>
  <w:style w:type="table" w:styleId="a0" w:customStyle="1">
    <w:basedOn w:val="TableNormal1"/>
    <w:tblPr>
      <w:tblStyleRowBandSize w:val="1"/>
      <w:tblStyleColBandSize w:val="1"/>
      <w:tblCellMar>
        <w:top w:w="0.0" w:type="dxa"/>
        <w:left w:w="115.0" w:type="dxa"/>
        <w:bottom w:w="0.0" w:type="dxa"/>
        <w:right w:w="115.0" w:type="dxa"/>
      </w:tblCellMar>
    </w:tblPr>
  </w:style>
  <w:style w:type="table" w:styleId="a1" w:customStyle="1">
    <w:basedOn w:val="TableNormal1"/>
    <w:tblPr>
      <w:tblStyleRowBandSize w:val="1"/>
      <w:tblStyleColBandSize w:val="1"/>
      <w:tblCellMar>
        <w:top w:w="0.0" w:type="dxa"/>
        <w:left w:w="115.0" w:type="dxa"/>
        <w:bottom w:w="0.0" w:type="dxa"/>
        <w:right w:w="115.0" w:type="dxa"/>
      </w:tblCellMar>
    </w:tblPr>
  </w:style>
  <w:style w:type="table" w:styleId="a2" w:customStyle="1">
    <w:basedOn w:val="TableNormal1"/>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hyperlink" Target="mailto:lsilvestreg@unav.es" TargetMode="External"/><Relationship Id="rId2" Type="http://schemas.openxmlformats.org/officeDocument/2006/relationships/hyperlink" Target="mailto:emontse@unav.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KTeJoXh3+ODLQZwW2pOZJXuDKA==">CgMxLjAyCWguMzBqMHpsbDIOaC52OHZ4ZTI3amh2ZjUyDmguMzBlbzZnZ3BzNWh3Mg5oLjFubGRuemk3YmY5djgAciExR0xZZWh4c2hTRWZhVEZPTk5oSW96TW1sbDhnSW5YX04=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2026-09-13T15:49:00Z</dcterms:created>
  <dc:creator>Lucia Silvestre Grau</dc:creator>
</cp:coreProperties>
</file>